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52B1" w14:textId="77777777" w:rsidR="007867F4" w:rsidRDefault="007867F4">
      <w:pPr>
        <w:spacing w:after="14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1A1BD546" w14:textId="77777777">
        <w:tc>
          <w:tcPr>
            <w:tcW w:w="10800" w:type="dxa"/>
            <w:shd w:val="clear" w:color="auto" w:fill="1F3864"/>
            <w:tcMar>
              <w:top w:w="500" w:type="dxa"/>
              <w:left w:w="300" w:type="dxa"/>
              <w:bottom w:w="480" w:type="dxa"/>
              <w:right w:w="300" w:type="dxa"/>
            </w:tcMar>
          </w:tcPr>
          <w:p w14:paraId="7100445D" w14:textId="77777777" w:rsidR="007867F4" w:rsidRDefault="00000000">
            <w:pPr>
              <w:spacing w:after="140"/>
              <w:jc w:val="center"/>
            </w:pPr>
            <w:r>
              <w:rPr>
                <w:b/>
                <w:bCs/>
                <w:color w:val="FFFFFF"/>
                <w:sz w:val="44"/>
                <w:szCs w:val="44"/>
              </w:rPr>
              <w:t>PLAN DE FORMATION MULTIMODAL</w:t>
            </w:r>
          </w:p>
          <w:p w14:paraId="324B8B7D" w14:textId="77777777" w:rsidR="007867F4" w:rsidRDefault="00000000">
            <w:pPr>
              <w:spacing w:after="260"/>
              <w:jc w:val="center"/>
            </w:pPr>
            <w:r>
              <w:rPr>
                <w:b/>
                <w:bCs/>
                <w:color w:val="FFFFFF"/>
                <w:sz w:val="34"/>
                <w:szCs w:val="34"/>
              </w:rPr>
              <w:t>EN DÉVELOPPEMENT DES COMPÉTENCES</w:t>
            </w:r>
          </w:p>
          <w:p w14:paraId="1732FCE0" w14:textId="77777777" w:rsidR="007867F4" w:rsidRDefault="00000000">
            <w:pPr>
              <w:jc w:val="center"/>
            </w:pPr>
            <w:r>
              <w:rPr>
                <w:color w:val="DDEBF7"/>
                <w:sz w:val="23"/>
                <w:szCs w:val="23"/>
              </w:rPr>
              <w:t>Quatre cheminements pour les centres hospitaliers</w:t>
            </w:r>
          </w:p>
        </w:tc>
      </w:tr>
    </w:tbl>
    <w:p w14:paraId="38D1A53D" w14:textId="77777777" w:rsidR="007867F4" w:rsidRDefault="00000000">
      <w:pPr>
        <w:spacing w:before="500" w:after="60"/>
        <w:jc w:val="center"/>
      </w:pPr>
      <w:r>
        <w:rPr>
          <w:b/>
          <w:bCs/>
          <w:color w:val="1F3864"/>
          <w:sz w:val="30"/>
          <w:szCs w:val="30"/>
        </w:rPr>
        <w:t>LE CENTRE HOSPITALIER</w:t>
      </w:r>
    </w:p>
    <w:p w14:paraId="5DBCE196" w14:textId="77777777" w:rsidR="007867F4" w:rsidRDefault="00000000">
      <w:pPr>
        <w:spacing w:after="900"/>
        <w:jc w:val="center"/>
      </w:pPr>
      <w:r>
        <w:rPr>
          <w:i/>
          <w:iCs/>
          <w:color w:val="555555"/>
          <w:sz w:val="21"/>
          <w:szCs w:val="21"/>
        </w:rPr>
        <w:t>Proposition d'un plan de développement des compétences</w:t>
      </w:r>
    </w:p>
    <w:p w14:paraId="32271BD3" w14:textId="0E3AF6D0" w:rsidR="007867F4" w:rsidRDefault="00B812C2">
      <w:pPr>
        <w:spacing w:before="100" w:after="200"/>
        <w:jc w:val="center"/>
      </w:pPr>
      <w:r>
        <w:rPr>
          <w:noProof/>
        </w:rPr>
        <w:drawing>
          <wp:inline distT="0" distB="0" distL="0" distR="0" wp14:anchorId="5471986F" wp14:editId="32F7B832">
            <wp:extent cx="6858000" cy="3827780"/>
            <wp:effectExtent l="0" t="0" r="0" b="1270"/>
            <wp:docPr id="19035414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0" cy="3827780"/>
                    </a:xfrm>
                    <a:prstGeom prst="rect">
                      <a:avLst/>
                    </a:prstGeom>
                    <a:noFill/>
                    <a:ln>
                      <a:noFill/>
                    </a:ln>
                  </pic:spPr>
                </pic:pic>
              </a:graphicData>
            </a:graphic>
          </wp:inline>
        </w:drawing>
      </w:r>
    </w:p>
    <w:p w14:paraId="21632973" w14:textId="77777777" w:rsidR="007867F4" w:rsidRDefault="00000000">
      <w:pPr>
        <w:spacing w:before="700" w:after="30"/>
        <w:jc w:val="center"/>
      </w:pPr>
      <w:r>
        <w:rPr>
          <w:color w:val="333333"/>
        </w:rPr>
        <w:t xml:space="preserve">Préparé par Philippe Voyer, inf., </w:t>
      </w:r>
      <w:proofErr w:type="spellStart"/>
      <w:r>
        <w:rPr>
          <w:color w:val="333333"/>
        </w:rPr>
        <w:t>Ph.D</w:t>
      </w:r>
      <w:proofErr w:type="spellEnd"/>
      <w:r>
        <w:rPr>
          <w:color w:val="333333"/>
        </w:rPr>
        <w:t>.</w:t>
      </w:r>
    </w:p>
    <w:p w14:paraId="7439D24D" w14:textId="77777777" w:rsidR="007867F4" w:rsidRDefault="00000000">
      <w:pPr>
        <w:jc w:val="center"/>
      </w:pPr>
      <w:r>
        <w:rPr>
          <w:color w:val="333333"/>
        </w:rPr>
        <w:t>www.philippevoyer.org</w:t>
      </w:r>
    </w:p>
    <w:p w14:paraId="6945D6A5" w14:textId="77777777" w:rsidR="007867F4" w:rsidRDefault="00000000">
      <w:r>
        <w:br w:type="page"/>
      </w:r>
    </w:p>
    <w:p w14:paraId="37486FC1" w14:textId="77777777" w:rsidR="007867F4" w:rsidRDefault="00000000">
      <w:pPr>
        <w:pStyle w:val="Titre1"/>
        <w:spacing w:after="300"/>
      </w:pPr>
      <w:r>
        <w:rPr>
          <w:b/>
          <w:bCs/>
          <w:color w:val="1F3864"/>
          <w:sz w:val="30"/>
          <w:szCs w:val="30"/>
        </w:rPr>
        <w:lastRenderedPageBreak/>
        <w:t>Table des matières</w:t>
      </w:r>
    </w:p>
    <w:p w14:paraId="70F40398" w14:textId="77777777" w:rsidR="007867F4" w:rsidRDefault="00000000">
      <w:pPr>
        <w:tabs>
          <w:tab w:val="right" w:leader="dot" w:pos="10600"/>
        </w:tabs>
        <w:spacing w:after="130"/>
      </w:pPr>
      <w:r>
        <w:rPr>
          <w:b/>
          <w:bCs/>
          <w:color w:val="1F3864"/>
        </w:rPr>
        <w:t>1. Mise en contexte</w:t>
      </w:r>
      <w:r>
        <w:rPr>
          <w:color w:val="1F3864"/>
        </w:rPr>
        <w:tab/>
        <w:t>2</w:t>
      </w:r>
    </w:p>
    <w:p w14:paraId="5C3ADF2B" w14:textId="77777777" w:rsidR="007867F4" w:rsidRDefault="00000000">
      <w:pPr>
        <w:tabs>
          <w:tab w:val="right" w:leader="dot" w:pos="10600"/>
        </w:tabs>
        <w:spacing w:after="130"/>
      </w:pPr>
      <w:r>
        <w:rPr>
          <w:b/>
          <w:bCs/>
          <w:color w:val="1F3864"/>
        </w:rPr>
        <w:t>2. Philosophie du programme, à l'intention de l'équipe de gestion</w:t>
      </w:r>
      <w:r>
        <w:rPr>
          <w:color w:val="1F3864"/>
        </w:rPr>
        <w:tab/>
        <w:t>3</w:t>
      </w:r>
    </w:p>
    <w:p w14:paraId="599065B0" w14:textId="77777777" w:rsidR="007867F4" w:rsidRDefault="00000000">
      <w:pPr>
        <w:tabs>
          <w:tab w:val="right" w:leader="dot" w:pos="10600"/>
        </w:tabs>
        <w:spacing w:after="130"/>
      </w:pPr>
      <w:r>
        <w:rPr>
          <w:b/>
          <w:bCs/>
          <w:color w:val="1F3864"/>
        </w:rPr>
        <w:t>3. Structure de déploiement, commune à tous les cheminements</w:t>
      </w:r>
      <w:r>
        <w:rPr>
          <w:color w:val="1F3864"/>
        </w:rPr>
        <w:tab/>
        <w:t>4</w:t>
      </w:r>
    </w:p>
    <w:p w14:paraId="1399EE73" w14:textId="77777777" w:rsidR="007867F4" w:rsidRDefault="00000000">
      <w:pPr>
        <w:tabs>
          <w:tab w:val="right" w:leader="dot" w:pos="10600"/>
        </w:tabs>
        <w:spacing w:after="85"/>
        <w:ind w:left="360"/>
      </w:pPr>
      <w:r>
        <w:rPr>
          <w:color w:val="000000"/>
          <w:sz w:val="18"/>
          <w:szCs w:val="18"/>
        </w:rPr>
        <w:t xml:space="preserve">3.1 Phase 1, intégration intensive au </w:t>
      </w:r>
      <w:proofErr w:type="spellStart"/>
      <w:r>
        <w:rPr>
          <w:color w:val="000000"/>
          <w:sz w:val="18"/>
          <w:szCs w:val="18"/>
        </w:rPr>
        <w:t>mois</w:t>
      </w:r>
      <w:proofErr w:type="spellEnd"/>
      <w:r>
        <w:rPr>
          <w:color w:val="000000"/>
          <w:sz w:val="18"/>
          <w:szCs w:val="18"/>
        </w:rPr>
        <w:t xml:space="preserve"> 1</w:t>
      </w:r>
      <w:r>
        <w:rPr>
          <w:color w:val="000000"/>
          <w:sz w:val="18"/>
          <w:szCs w:val="18"/>
        </w:rPr>
        <w:tab/>
        <w:t>4</w:t>
      </w:r>
    </w:p>
    <w:p w14:paraId="135D7FA2" w14:textId="77777777" w:rsidR="007867F4" w:rsidRDefault="00000000">
      <w:pPr>
        <w:tabs>
          <w:tab w:val="right" w:leader="dot" w:pos="10600"/>
        </w:tabs>
        <w:spacing w:after="85"/>
        <w:ind w:left="360"/>
      </w:pPr>
      <w:r>
        <w:rPr>
          <w:color w:val="000000"/>
          <w:sz w:val="18"/>
          <w:szCs w:val="18"/>
        </w:rPr>
        <w:t>3.2 Phase 2, consolidation continue à partir du mois 2</w:t>
      </w:r>
      <w:r>
        <w:rPr>
          <w:color w:val="000000"/>
          <w:sz w:val="18"/>
          <w:szCs w:val="18"/>
        </w:rPr>
        <w:tab/>
        <w:t>4</w:t>
      </w:r>
    </w:p>
    <w:p w14:paraId="04F612C4" w14:textId="77777777" w:rsidR="007867F4" w:rsidRDefault="00000000">
      <w:pPr>
        <w:tabs>
          <w:tab w:val="right" w:leader="dot" w:pos="10600"/>
        </w:tabs>
        <w:spacing w:after="85"/>
        <w:ind w:left="360"/>
      </w:pPr>
      <w:r>
        <w:rPr>
          <w:color w:val="000000"/>
          <w:sz w:val="18"/>
          <w:szCs w:val="18"/>
        </w:rPr>
        <w:t>3.3 Suivi individualisé des questionnaires et ciblage du coaching clinique</w:t>
      </w:r>
      <w:r>
        <w:rPr>
          <w:color w:val="000000"/>
          <w:sz w:val="18"/>
          <w:szCs w:val="18"/>
        </w:rPr>
        <w:tab/>
        <w:t>4</w:t>
      </w:r>
    </w:p>
    <w:p w14:paraId="6F3AA36B" w14:textId="77777777" w:rsidR="007867F4" w:rsidRDefault="00000000">
      <w:pPr>
        <w:tabs>
          <w:tab w:val="right" w:leader="dot" w:pos="10600"/>
        </w:tabs>
        <w:spacing w:after="85"/>
        <w:ind w:left="360"/>
      </w:pPr>
      <w:r>
        <w:rPr>
          <w:color w:val="000000"/>
          <w:sz w:val="18"/>
          <w:szCs w:val="18"/>
        </w:rPr>
        <w:t>3.4 Vision pluriannuelle et gouvernance</w:t>
      </w:r>
      <w:r>
        <w:rPr>
          <w:color w:val="000000"/>
          <w:sz w:val="18"/>
          <w:szCs w:val="18"/>
        </w:rPr>
        <w:tab/>
        <w:t>4</w:t>
      </w:r>
    </w:p>
    <w:p w14:paraId="379C453F" w14:textId="77777777" w:rsidR="007867F4" w:rsidRDefault="00000000">
      <w:pPr>
        <w:tabs>
          <w:tab w:val="right" w:leader="dot" w:pos="10600"/>
        </w:tabs>
        <w:spacing w:after="130"/>
      </w:pPr>
      <w:r>
        <w:rPr>
          <w:b/>
          <w:bCs/>
          <w:color w:val="1F3864"/>
        </w:rPr>
        <w:t>4. Plan de formation, préposés aux bénéficiaires</w:t>
      </w:r>
      <w:r>
        <w:rPr>
          <w:color w:val="1F3864"/>
        </w:rPr>
        <w:tab/>
        <w:t>6</w:t>
      </w:r>
    </w:p>
    <w:p w14:paraId="011941A8" w14:textId="77777777" w:rsidR="007867F4" w:rsidRDefault="00000000">
      <w:pPr>
        <w:tabs>
          <w:tab w:val="right" w:leader="dot" w:pos="10600"/>
        </w:tabs>
        <w:spacing w:after="130"/>
      </w:pPr>
      <w:r>
        <w:rPr>
          <w:b/>
          <w:bCs/>
          <w:color w:val="1F3864"/>
        </w:rPr>
        <w:t>5. Plan de formation, infirmières auxiliaires et infirmiers auxiliaires</w:t>
      </w:r>
      <w:r>
        <w:rPr>
          <w:color w:val="1F3864"/>
        </w:rPr>
        <w:tab/>
        <w:t>7</w:t>
      </w:r>
    </w:p>
    <w:p w14:paraId="40F86D3F" w14:textId="77777777" w:rsidR="007867F4" w:rsidRDefault="00000000">
      <w:pPr>
        <w:tabs>
          <w:tab w:val="right" w:leader="dot" w:pos="10600"/>
        </w:tabs>
        <w:spacing w:after="130"/>
      </w:pPr>
      <w:r>
        <w:rPr>
          <w:b/>
          <w:bCs/>
          <w:color w:val="1F3864"/>
        </w:rPr>
        <w:t>6. Plan de formation, personnel infirmier</w:t>
      </w:r>
      <w:r>
        <w:rPr>
          <w:color w:val="1F3864"/>
        </w:rPr>
        <w:tab/>
        <w:t>8</w:t>
      </w:r>
    </w:p>
    <w:p w14:paraId="1583F1F7" w14:textId="77777777" w:rsidR="007867F4" w:rsidRDefault="00000000">
      <w:pPr>
        <w:tabs>
          <w:tab w:val="right" w:leader="dot" w:pos="10600"/>
        </w:tabs>
        <w:spacing w:after="130"/>
      </w:pPr>
      <w:r>
        <w:rPr>
          <w:b/>
          <w:bCs/>
          <w:color w:val="1F3864"/>
        </w:rPr>
        <w:t>7. Plan de formation, bénévoles</w:t>
      </w:r>
      <w:r>
        <w:rPr>
          <w:color w:val="1F3864"/>
        </w:rPr>
        <w:tab/>
        <w:t>10</w:t>
      </w:r>
    </w:p>
    <w:p w14:paraId="01E65B23" w14:textId="77777777" w:rsidR="007867F4" w:rsidRDefault="00000000">
      <w:pPr>
        <w:tabs>
          <w:tab w:val="right" w:leader="dot" w:pos="10600"/>
        </w:tabs>
        <w:spacing w:after="130"/>
      </w:pPr>
      <w:r>
        <w:rPr>
          <w:b/>
          <w:bCs/>
          <w:color w:val="1F3864"/>
        </w:rPr>
        <w:t>8. Conclusion</w:t>
      </w:r>
      <w:r>
        <w:rPr>
          <w:color w:val="1F3864"/>
        </w:rPr>
        <w:tab/>
        <w:t>11</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10B0CE09" w14:textId="77777777">
        <w:tc>
          <w:tcPr>
            <w:tcW w:w="10800" w:type="dxa"/>
            <w:shd w:val="clear" w:color="auto" w:fill="1F3864"/>
            <w:tcMar>
              <w:top w:w="150" w:type="dxa"/>
              <w:left w:w="180" w:type="dxa"/>
              <w:bottom w:w="150" w:type="dxa"/>
              <w:right w:w="180" w:type="dxa"/>
            </w:tcMar>
          </w:tcPr>
          <w:p w14:paraId="7D430F59" w14:textId="77777777" w:rsidR="007867F4" w:rsidRDefault="00000000">
            <w:pPr>
              <w:pStyle w:val="Titre1"/>
            </w:pPr>
            <w:r>
              <w:rPr>
                <w:b/>
                <w:bCs/>
                <w:color w:val="FFFFFF"/>
                <w:sz w:val="25"/>
                <w:szCs w:val="25"/>
              </w:rPr>
              <w:t>1. Mise en contexte</w:t>
            </w:r>
          </w:p>
        </w:tc>
      </w:tr>
    </w:tbl>
    <w:p w14:paraId="69DCEDAF" w14:textId="77777777" w:rsidR="007867F4" w:rsidRDefault="007867F4">
      <w:pPr>
        <w:spacing w:after="140"/>
      </w:pPr>
    </w:p>
    <w:p w14:paraId="5B97382D" w14:textId="185E97F6" w:rsidR="007867F4" w:rsidRDefault="00D3040D">
      <w:pPr>
        <w:spacing w:after="140" w:line="280" w:lineRule="auto"/>
      </w:pPr>
      <w:r>
        <w:t xml:space="preserve">Ce document vise à soutenir une direction en </w:t>
      </w:r>
      <w:r w:rsidR="00000000">
        <w:t xml:space="preserve">centre hospitalier </w:t>
      </w:r>
      <w:r>
        <w:t xml:space="preserve">qui </w:t>
      </w:r>
      <w:r w:rsidR="00000000">
        <w:t xml:space="preserve">souhaite offrir à son personnel un développement des compétences structuré, cohérent et durable. Une organisation qui accueille une clientèle âgée </w:t>
      </w:r>
      <w:r>
        <w:t xml:space="preserve">en perte d’autonomie ou </w:t>
      </w:r>
      <w:r w:rsidR="00000000">
        <w:t>vivant avec des troubles neurocognitifs majeurs ne peut pas se limiter à une formation ponctuelle à l'embauche. Les besoins des patients évoluent, la pratique clinique optimale se construit avec le temps, et le personnel doit continuer à apprendre tout au long de sa carrière.</w:t>
      </w:r>
    </w:p>
    <w:p w14:paraId="5352FBE0" w14:textId="77777777" w:rsidR="007867F4" w:rsidRDefault="00000000">
      <w:pPr>
        <w:spacing w:after="140" w:line="280" w:lineRule="auto"/>
      </w:pPr>
      <w:r>
        <w:t>L'approche retenue est de type multimodal. Elle combine des vidéos de formation asynchrones, des questionnaires de validation des apprentissages avec rétroaction intégrée, des webinaires interactifs et, surtout, du coaching clinique assuré par des piliers désignés dans chaque unité. La diversité des stratégies augmente les chances que l'une d'elles rejoigne les préférences d'apprentissage de chaque employé et elle favorise la rétention des connaissances à long terme.</w:t>
      </w:r>
    </w:p>
    <w:p w14:paraId="31959EF0" w14:textId="05803C72" w:rsidR="007867F4" w:rsidRDefault="00000000">
      <w:pPr>
        <w:spacing w:after="140" w:line="280" w:lineRule="auto"/>
      </w:pPr>
      <w:r>
        <w:t xml:space="preserve">Ce document propose quatre cheminements distincts, adaptés au champ de pratique de chaque catégorie de personnel </w:t>
      </w:r>
      <w:proofErr w:type="spellStart"/>
      <w:r>
        <w:t>oeuvrant</w:t>
      </w:r>
      <w:proofErr w:type="spellEnd"/>
      <w:r>
        <w:t xml:space="preserve"> en centre hospitalier, soit les préposés aux bénéficiaires, les infirmières auxiliaires et infirmiers auxiliaires, le</w:t>
      </w:r>
      <w:r w:rsidR="00D3040D">
        <w:t>s infirmières et infirmiers</w:t>
      </w:r>
      <w:r>
        <w:t xml:space="preserve">, ainsi que les bénévoles. Après le premier mois, chaque cheminement suit un ordre de priorité précis établi à raison d'environ deux à trois vidéos par mois. Les titres, les durées et les clientèles </w:t>
      </w:r>
      <w:proofErr w:type="gramStart"/>
      <w:r>
        <w:t>cibles retenus</w:t>
      </w:r>
      <w:proofErr w:type="gramEnd"/>
      <w:r>
        <w:t xml:space="preserve"> dans ce plan proviennent directement de la liste des formations actuellement offerte sur la plateforme (philippevoyer.org/liste-des-formations). Comme de nouveaux contenus s'y ajoutent régulièrement, il demeure utile de confirmer périodiquement l'offre courante au moment de mettre à jour le calendrier.</w:t>
      </w:r>
    </w:p>
    <w:p w14:paraId="53FF1981" w14:textId="77777777" w:rsidR="007867F4" w:rsidRDefault="00000000">
      <w:pPr>
        <w:spacing w:after="140" w:line="280" w:lineRule="auto"/>
      </w:pPr>
      <w:r>
        <w:t>Ce document ne propose pas de cheminement spécifique pour les autres professionnels de la santé présents en centre hospitalier, tels que les ergothérapeutes, les physiothérapeutes, les travailleurs sociaux ou les pharmaciens. Leurs compétences déjà acquises et leur parcours professionnel varient trop d'une personne à l'autre pour qu'une suggestion générique soit pertinente. Les gestionnaires sont donc invités à consulter directement ces professionnels ou leur direction professionnelle afin d'établir un plan de formation qui réponde réellement à leurs besoins.</w:t>
      </w:r>
    </w:p>
    <w:p w14:paraId="7C824C2A"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787856EB" w14:textId="77777777">
        <w:tc>
          <w:tcPr>
            <w:tcW w:w="10800" w:type="dxa"/>
            <w:shd w:val="clear" w:color="auto" w:fill="1F3864"/>
            <w:tcMar>
              <w:top w:w="150" w:type="dxa"/>
              <w:left w:w="180" w:type="dxa"/>
              <w:bottom w:w="150" w:type="dxa"/>
              <w:right w:w="180" w:type="dxa"/>
            </w:tcMar>
          </w:tcPr>
          <w:p w14:paraId="2DB0F373" w14:textId="77777777" w:rsidR="007867F4" w:rsidRDefault="00000000">
            <w:pPr>
              <w:pStyle w:val="Titre1"/>
            </w:pPr>
            <w:r>
              <w:rPr>
                <w:b/>
                <w:bCs/>
                <w:color w:val="FFFFFF"/>
                <w:sz w:val="25"/>
                <w:szCs w:val="25"/>
              </w:rPr>
              <w:lastRenderedPageBreak/>
              <w:t>2. Philosophie du programme, à l'intention de l'équipe de gestion</w:t>
            </w:r>
          </w:p>
        </w:tc>
      </w:tr>
    </w:tbl>
    <w:p w14:paraId="3BAB74E6" w14:textId="77777777" w:rsidR="007867F4" w:rsidRDefault="007867F4">
      <w:pPr>
        <w:spacing w:after="140"/>
      </w:pPr>
    </w:p>
    <w:p w14:paraId="3BB07B63" w14:textId="77777777" w:rsidR="007867F4" w:rsidRDefault="00000000">
      <w:pPr>
        <w:spacing w:after="140" w:line="280" w:lineRule="auto"/>
      </w:pPr>
      <w:r>
        <w:t>Pour que ce plan produise des résultats mesurables sur la pratique clinique, l'équipe de gestion est invitée à retenir les principes suivants.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11F72B1D" w14:textId="77777777">
        <w:tc>
          <w:tcPr>
            <w:tcW w:w="10800" w:type="dxa"/>
            <w:shd w:val="clear" w:color="auto" w:fill="DDEBF7"/>
            <w:tcMar>
              <w:top w:w="200" w:type="dxa"/>
              <w:left w:w="240" w:type="dxa"/>
              <w:bottom w:w="200" w:type="dxa"/>
              <w:right w:w="240" w:type="dxa"/>
            </w:tcMar>
          </w:tcPr>
          <w:p w14:paraId="7C7A6B04" w14:textId="77777777" w:rsidR="007867F4" w:rsidRDefault="00000000" w:rsidP="00D3040D">
            <w:pPr>
              <w:pStyle w:val="Paragraphedeliste"/>
              <w:numPr>
                <w:ilvl w:val="0"/>
                <w:numId w:val="3"/>
              </w:numPr>
              <w:spacing w:after="110" w:line="268" w:lineRule="auto"/>
            </w:pPr>
            <w:r>
              <w:t>Un tronc commun essentiel pour tout le personnel qui soigne ou accompagne les patients et leurs familles. La formation pivot 1.01 sur la maladie d'Alzheimer et les troubles neurocognitifs apparentés doit être vue en premier par tous, peu importe le titre d'emploi, car elle sert d'assise à toutes les compétences cliniques qui viendront ensuite.</w:t>
            </w:r>
          </w:p>
          <w:p w14:paraId="7F68616D" w14:textId="77777777" w:rsidR="007867F4" w:rsidRDefault="00000000" w:rsidP="00D3040D">
            <w:pPr>
              <w:pStyle w:val="Paragraphedeliste"/>
              <w:numPr>
                <w:ilvl w:val="0"/>
                <w:numId w:val="3"/>
              </w:numPr>
              <w:spacing w:after="110" w:line="268" w:lineRule="auto"/>
            </w:pPr>
            <w:r>
              <w:t>Une progression de la complexité. Le programme commence par des notions simples, puis évolue vers des situations cliniques de plus en plus complexes, au rythme de l'expérience acquise par l'employé.</w:t>
            </w:r>
          </w:p>
          <w:p w14:paraId="626E7EDE" w14:textId="77777777" w:rsidR="007867F4" w:rsidRDefault="00000000" w:rsidP="00D3040D">
            <w:pPr>
              <w:pStyle w:val="Paragraphedeliste"/>
              <w:numPr>
                <w:ilvl w:val="0"/>
                <w:numId w:val="3"/>
              </w:numPr>
              <w:spacing w:after="110" w:line="268" w:lineRule="auto"/>
            </w:pPr>
            <w:r>
              <w:t>Une intensité de départ, mais graduelle. Le premier mois combine un volume élevé de formation et un accompagnement rapproché, avec un jumelage quotidien la première semaine seulement, puis hebdomadaire pour le reste du mois.</w:t>
            </w:r>
          </w:p>
          <w:p w14:paraId="4405F69F" w14:textId="63C194D8" w:rsidR="007867F4" w:rsidRDefault="00000000" w:rsidP="00D3040D">
            <w:pPr>
              <w:pStyle w:val="Paragraphedeliste"/>
              <w:numPr>
                <w:ilvl w:val="0"/>
                <w:numId w:val="3"/>
              </w:numPr>
              <w:spacing w:after="110" w:line="268" w:lineRule="auto"/>
            </w:pPr>
            <w:r>
              <w:t>Un cheminement personnalisé et séquentiel plutôt qu'un découpage par année. Chaque catégorie de personnel suit, après le premier mois, un ordre de priorité précis établi à raison d'environ deux à trois vidéos par mois. Une fois la séquence complétée, les formations suivantes sont choisies selon les priorités du milieu, en co-construction avec le personnel concerné.</w:t>
            </w:r>
          </w:p>
          <w:p w14:paraId="33D301C9" w14:textId="77777777" w:rsidR="007867F4" w:rsidRDefault="00000000" w:rsidP="00D3040D">
            <w:pPr>
              <w:pStyle w:val="Paragraphedeliste"/>
              <w:numPr>
                <w:ilvl w:val="0"/>
                <w:numId w:val="3"/>
              </w:numPr>
              <w:spacing w:after="110" w:line="268" w:lineRule="auto"/>
            </w:pPr>
            <w:r>
              <w:t>Une valeur réelle accordée à la validation des apprentissages. Les questionnaires ne sont pas accessoires. En assurer un suivi rigoureux démontre l'importance que l'organisation accorde à la compréhension réelle du contenu.</w:t>
            </w:r>
          </w:p>
          <w:p w14:paraId="40F8558F" w14:textId="77777777" w:rsidR="007867F4" w:rsidRDefault="00000000" w:rsidP="00D3040D">
            <w:pPr>
              <w:pStyle w:val="Paragraphedeliste"/>
              <w:numPr>
                <w:ilvl w:val="0"/>
                <w:numId w:val="3"/>
              </w:numPr>
              <w:spacing w:after="110" w:line="268" w:lineRule="auto"/>
            </w:pPr>
            <w:r>
              <w:t>Un accompagnement humain ciblé. Le coaching clinique individuel est réservé aux besoins observés ou validés par les résultats des questionnaires, et non offert de façon systématique à l'ensemble du personnel.</w:t>
            </w:r>
          </w:p>
        </w:tc>
      </w:tr>
    </w:tbl>
    <w:p w14:paraId="523DBB0B"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449A8DD5" w14:textId="77777777">
        <w:tc>
          <w:tcPr>
            <w:tcW w:w="10800" w:type="dxa"/>
            <w:shd w:val="clear" w:color="auto" w:fill="1F3864"/>
            <w:tcMar>
              <w:top w:w="150" w:type="dxa"/>
              <w:left w:w="180" w:type="dxa"/>
              <w:bottom w:w="150" w:type="dxa"/>
              <w:right w:w="180" w:type="dxa"/>
            </w:tcMar>
          </w:tcPr>
          <w:p w14:paraId="253D8817" w14:textId="77777777" w:rsidR="007867F4" w:rsidRDefault="00000000">
            <w:pPr>
              <w:pStyle w:val="Titre1"/>
            </w:pPr>
            <w:r>
              <w:rPr>
                <w:b/>
                <w:bCs/>
                <w:color w:val="FFFFFF"/>
                <w:sz w:val="25"/>
                <w:szCs w:val="25"/>
              </w:rPr>
              <w:lastRenderedPageBreak/>
              <w:t>3. Structure de déploiement, commune à tous les cheminements</w:t>
            </w:r>
          </w:p>
        </w:tc>
      </w:tr>
    </w:tbl>
    <w:p w14:paraId="783FF60C" w14:textId="77777777" w:rsidR="007867F4" w:rsidRDefault="007867F4">
      <w:pPr>
        <w:spacing w:after="140"/>
      </w:pPr>
    </w:p>
    <w:p w14:paraId="48CF2A1D" w14:textId="77777777" w:rsidR="007867F4" w:rsidRDefault="00000000">
      <w:pPr>
        <w:spacing w:before="100" w:after="200"/>
        <w:jc w:val="center"/>
      </w:pPr>
      <w:r>
        <w:rPr>
          <w:noProof/>
        </w:rPr>
        <w:drawing>
          <wp:inline distT="0" distB="0" distL="0" distR="0" wp14:anchorId="33C260C8" wp14:editId="4307B784">
            <wp:extent cx="5810250" cy="1743075"/>
            <wp:effectExtent l="0" t="0" r="0" b="0"/>
            <wp:docPr id="1366034706" name="Image 136603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10250" cy="1743075"/>
                    </a:xfrm>
                    <a:prstGeom prst="rect">
                      <a:avLst/>
                    </a:prstGeom>
                  </pic:spPr>
                </pic:pic>
              </a:graphicData>
            </a:graphic>
          </wp:inline>
        </w:drawing>
      </w:r>
    </w:p>
    <w:p w14:paraId="4E8F68D6" w14:textId="77777777" w:rsidR="007867F4" w:rsidRDefault="00000000">
      <w:pPr>
        <w:pStyle w:val="Titre2"/>
        <w:pBdr>
          <w:bottom w:val="single" w:sz="6" w:space="4" w:color="2E75B6"/>
        </w:pBdr>
        <w:spacing w:before="260" w:after="120"/>
      </w:pPr>
      <w:r>
        <w:rPr>
          <w:b/>
          <w:bCs/>
          <w:color w:val="1F3864"/>
          <w:sz w:val="22"/>
          <w:szCs w:val="22"/>
        </w:rPr>
        <w:t xml:space="preserve">3.1 Phase 1, intégration intensive au </w:t>
      </w:r>
      <w:proofErr w:type="spellStart"/>
      <w:r>
        <w:rPr>
          <w:b/>
          <w:bCs/>
          <w:color w:val="1F3864"/>
          <w:sz w:val="22"/>
          <w:szCs w:val="22"/>
        </w:rPr>
        <w:t>mois</w:t>
      </w:r>
      <w:proofErr w:type="spellEnd"/>
      <w:r>
        <w:rPr>
          <w:b/>
          <w:bCs/>
          <w:color w:val="1F3864"/>
          <w:sz w:val="22"/>
          <w:szCs w:val="22"/>
        </w:rPr>
        <w:t xml:space="preserve"> 1</w:t>
      </w:r>
    </w:p>
    <w:p w14:paraId="6EB5AC76" w14:textId="77777777" w:rsidR="007867F4" w:rsidRDefault="00000000">
      <w:pPr>
        <w:spacing w:after="140" w:line="280" w:lineRule="auto"/>
      </w:pPr>
      <w:r>
        <w:t>Dès l'embauche, le nouvel employé est intégré à un parcours structuré et accompagné, présenté en détail dans chacun des quatre cheminements. En semaine 1, l'employé amorce la formation pivot 1.01, et bénéficie d'un jumelage quotidien avec un employé d'expérience ou un pilier. À partir de la semaine 2 et jusqu'à la fin du mois, ce jumelage se poursuit une fois par semaine seulement, le temps de compléter la formation pivot et de développer progressivement l'autonomie du nouvel employé. Après le premier mois, il n'y a plus de jumelage individuel prévu au calendrier ; le soutien se poursuit par les rencontres mensuelles d'équipe décrites ci-dessous et par le coaching ciblé de la section 3.3.</w:t>
      </w:r>
    </w:p>
    <w:p w14:paraId="4AA61916" w14:textId="77777777" w:rsidR="007867F4" w:rsidRDefault="00000000">
      <w:pPr>
        <w:pStyle w:val="Titre2"/>
        <w:pBdr>
          <w:bottom w:val="single" w:sz="6" w:space="4" w:color="2E75B6"/>
        </w:pBdr>
        <w:spacing w:before="260" w:after="120"/>
      </w:pPr>
      <w:r>
        <w:rPr>
          <w:b/>
          <w:bCs/>
          <w:color w:val="1F3864"/>
          <w:sz w:val="22"/>
          <w:szCs w:val="22"/>
        </w:rPr>
        <w:t>3.2 Phase 2, consolidation continue à partir du mois 2</w:t>
      </w:r>
    </w:p>
    <w:p w14:paraId="611D4253" w14:textId="48E7FB19" w:rsidR="007867F4" w:rsidRDefault="00000000">
      <w:pPr>
        <w:spacing w:after="140" w:line="280" w:lineRule="auto"/>
      </w:pPr>
      <w:r>
        <w:t xml:space="preserve">À partir du deuxième mois, le rythme ralentit, mais ne s'arrête jamais. Chaque mois, </w:t>
      </w:r>
      <w:r w:rsidR="00CD571B">
        <w:t xml:space="preserve">en </w:t>
      </w:r>
      <w:r>
        <w:t>petit groupe d'environ huit personnes visionne ensemble environ deux à trois vidéos de formation au maximum, selon leur durée. Un pilier anime la rencontre d'une heure, revient sur le contenu visionné et fait des liens avec des patients et des situations vécues dans l'unité, afin de favoriser le passage de la théorie à la pratique et l'intégration réelle des apprentissages. Les webinaires interactifs de la plateforme s'ajoutent selon le calendrier disponible, en direct ou en rediffusion.</w:t>
      </w:r>
    </w:p>
    <w:p w14:paraId="3A86421E" w14:textId="77777777" w:rsidR="007867F4" w:rsidRDefault="00000000">
      <w:pPr>
        <w:pStyle w:val="Titre2"/>
        <w:pBdr>
          <w:bottom w:val="single" w:sz="6" w:space="4" w:color="2E75B6"/>
        </w:pBdr>
        <w:spacing w:before="260" w:after="120"/>
      </w:pPr>
      <w:r>
        <w:rPr>
          <w:b/>
          <w:bCs/>
          <w:color w:val="1F3864"/>
          <w:sz w:val="22"/>
          <w:szCs w:val="22"/>
        </w:rPr>
        <w:t>3.3 Suivi individualisé des questionnaires et ciblage du coaching clinique</w:t>
      </w:r>
    </w:p>
    <w:p w14:paraId="4BA35C2E" w14:textId="77777777" w:rsidR="007867F4" w:rsidRDefault="00000000">
      <w:pPr>
        <w:spacing w:after="140" w:line="280" w:lineRule="auto"/>
      </w:pPr>
      <w:r>
        <w:t>La personne responsable du développement des compétences consulte régulièrement la page administrateur de la plateforme afin de suivre les résultats obtenus par chaque employé aux questionnaires de validation des apprentissages. Ce suivi permet de cibler les interventions individuelles là où elles sont réellement nécessaires.</w:t>
      </w:r>
    </w:p>
    <w:p w14:paraId="55141E09" w14:textId="77777777" w:rsidR="007867F4" w:rsidRDefault="00000000">
      <w:pPr>
        <w:spacing w:after="140" w:line="280" w:lineRule="auto"/>
      </w:pPr>
      <w:r>
        <w:t>Le coaching clinique individuel n'est pas requis pour l'ensemble du personnel. Il est réservé aux employés dont les résultats aux questionnaires révèlent des lacunes importantes ou récurrentes, ou dont les gestionnaires de proximité observent des difficultés dans l'application des compétences au quotidien. Pour le personnel dont les résultats sont bons et dont l'intégration des compétences est bien observée dans la pratique, un coaching individuel supplémentaire n'est généralement pas nécessaire, la rencontre d'équipe mensuelle suffisant à maintenir ses acquis.</w:t>
      </w:r>
    </w:p>
    <w:p w14:paraId="7FD12A7D" w14:textId="77777777" w:rsidR="007867F4" w:rsidRDefault="00000000">
      <w:pPr>
        <w:pStyle w:val="Titre2"/>
        <w:pBdr>
          <w:bottom w:val="single" w:sz="6" w:space="4" w:color="2E75B6"/>
        </w:pBdr>
        <w:spacing w:before="260" w:after="120"/>
      </w:pPr>
      <w:r>
        <w:rPr>
          <w:b/>
          <w:bCs/>
          <w:color w:val="1F3864"/>
          <w:sz w:val="22"/>
          <w:szCs w:val="22"/>
        </w:rPr>
        <w:t>3.4 Vision pluriannuelle et gouvernance</w:t>
      </w:r>
    </w:p>
    <w:p w14:paraId="1657FAD8" w14:textId="77777777" w:rsidR="007867F4" w:rsidRDefault="00000000">
      <w:pPr>
        <w:spacing w:after="140" w:line="280" w:lineRule="auto"/>
      </w:pPr>
      <w:r>
        <w:t>Chacun des quatre cheminements présentés dans ce document suit, après le premier mois, un ordre de priorité précis. Une fois cette séquence complétée, il revient à l'organisation de choisir les formations suivantes en fonction des besoins observés dans le milieu, en co-construction avec le personnel concerné, plutôt que de suivre un plan prédéfini, la plateforme continuant d'être mise à jour avec de nouveaux contenus.</w:t>
      </w:r>
    </w:p>
    <w:p w14:paraId="483EE6A4" w14:textId="77777777" w:rsidR="007867F4" w:rsidRDefault="00000000">
      <w:pPr>
        <w:spacing w:after="140" w:line="280" w:lineRule="auto"/>
      </w:pPr>
      <w:r>
        <w:t>Une personne responsable du développement des compétences doit être identifiée pour planifier le calendrier annuel, réserver les groupes, superviser les questionnaires et rendre compte des résultats à la direction.</w:t>
      </w:r>
    </w:p>
    <w:p w14:paraId="302307EE" w14:textId="77777777" w:rsidR="007867F4" w:rsidRDefault="00000000">
      <w:pPr>
        <w:spacing w:after="140" w:line="280" w:lineRule="auto"/>
      </w:pPr>
      <w:r>
        <w:lastRenderedPageBreak/>
        <w:t xml:space="preserve">Le succès du programme repose également sur une équipe de piliers présents sur les unités. Avant d'assumer ce rôle, chaque pilier devrait visionner la formation 3.10, Le coaching clinique, mode d'emploi, qui explique les stratégies pour offrir un coaching efficace et satisfaisant pour les participants. Ces mêmes piliers soutiennent aussi les équipes lors de situations cliniques complexes, par exemple </w:t>
      </w:r>
      <w:proofErr w:type="gramStart"/>
      <w:r>
        <w:t>lorsqu'un patient présente</w:t>
      </w:r>
      <w:proofErr w:type="gramEnd"/>
      <w:r>
        <w:t xml:space="preserve"> des SCPD qui ne s'améliorent pas malgré les interventions habituelles, selon un mécanisme simple d'escalade vers les ressources cliniques et médicales appropriées.</w:t>
      </w:r>
    </w:p>
    <w:p w14:paraId="4AF413F2" w14:textId="77777777" w:rsidR="007867F4" w:rsidRDefault="00000000">
      <w:pPr>
        <w:spacing w:before="100" w:after="200"/>
        <w:jc w:val="center"/>
      </w:pPr>
      <w:r>
        <w:rPr>
          <w:noProof/>
        </w:rPr>
        <w:drawing>
          <wp:inline distT="0" distB="0" distL="0" distR="0" wp14:anchorId="1A181B25" wp14:editId="29D62C44">
            <wp:extent cx="5334000" cy="1228725"/>
            <wp:effectExtent l="0" t="0" r="0" b="0"/>
            <wp:docPr id="41317092" name="Image 41317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1228725"/>
                    </a:xfrm>
                    <a:prstGeom prst="rect">
                      <a:avLst/>
                    </a:prstGeom>
                  </pic:spPr>
                </pic:pic>
              </a:graphicData>
            </a:graphic>
          </wp:inline>
        </w:drawing>
      </w:r>
    </w:p>
    <w:p w14:paraId="10AE06A1"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7DD81CAC" w14:textId="77777777">
        <w:tc>
          <w:tcPr>
            <w:tcW w:w="10800" w:type="dxa"/>
            <w:shd w:val="clear" w:color="auto" w:fill="1F3864"/>
            <w:tcMar>
              <w:top w:w="150" w:type="dxa"/>
              <w:left w:w="180" w:type="dxa"/>
              <w:bottom w:w="150" w:type="dxa"/>
              <w:right w:w="180" w:type="dxa"/>
            </w:tcMar>
          </w:tcPr>
          <w:p w14:paraId="7F410E8C" w14:textId="77777777" w:rsidR="007867F4" w:rsidRDefault="00000000">
            <w:pPr>
              <w:pStyle w:val="Titre1"/>
            </w:pPr>
            <w:r>
              <w:rPr>
                <w:b/>
                <w:bCs/>
                <w:color w:val="FFFFFF"/>
                <w:sz w:val="25"/>
                <w:szCs w:val="25"/>
              </w:rPr>
              <w:lastRenderedPageBreak/>
              <w:t>4. Plan de formation, préposés aux bénéficiaires</w:t>
            </w:r>
          </w:p>
        </w:tc>
      </w:tr>
    </w:tbl>
    <w:p w14:paraId="66D0F096" w14:textId="77777777" w:rsidR="007867F4" w:rsidRDefault="007867F4">
      <w:pPr>
        <w:spacing w:after="140"/>
      </w:pPr>
    </w:p>
    <w:p w14:paraId="78AA9F4D" w14:textId="77777777" w:rsidR="007867F4" w:rsidRDefault="00000000">
      <w:pPr>
        <w:pStyle w:val="Titre2"/>
        <w:pBdr>
          <w:bottom w:val="single" w:sz="6" w:space="4" w:color="2E75B6"/>
        </w:pBdr>
        <w:spacing w:before="260" w:after="120"/>
      </w:pPr>
      <w:r>
        <w:rPr>
          <w:b/>
          <w:bCs/>
          <w:color w:val="1F3864"/>
          <w:sz w:val="22"/>
          <w:szCs w:val="22"/>
        </w:rPr>
        <w:t>4.1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20"/>
        <w:gridCol w:w="1345"/>
        <w:gridCol w:w="1229"/>
        <w:gridCol w:w="4157"/>
      </w:tblGrid>
      <w:tr w:rsidR="007867F4" w14:paraId="7B24BEAB" w14:textId="77777777">
        <w:trPr>
          <w:tblHeader/>
        </w:trPr>
        <w:tc>
          <w:tcPr>
            <w:tcW w:w="850" w:type="dxa"/>
            <w:shd w:val="clear" w:color="auto" w:fill="1F3864"/>
            <w:tcMar>
              <w:top w:w="65" w:type="dxa"/>
              <w:left w:w="95" w:type="dxa"/>
              <w:bottom w:w="65" w:type="dxa"/>
              <w:right w:w="95" w:type="dxa"/>
            </w:tcMar>
            <w:vAlign w:val="center"/>
          </w:tcPr>
          <w:p w14:paraId="44AE53FE" w14:textId="77777777" w:rsidR="007867F4"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6ED91D66"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1A49C200" w14:textId="77777777" w:rsidR="007867F4"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1AA43BDD" w14:textId="77777777" w:rsidR="007867F4"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29995A2A" w14:textId="77777777" w:rsidR="007867F4" w:rsidRDefault="00000000">
            <w:r>
              <w:rPr>
                <w:b/>
                <w:bCs/>
                <w:color w:val="FFFFFF"/>
                <w:sz w:val="17"/>
                <w:szCs w:val="17"/>
              </w:rPr>
              <w:t>Objectif d'apprentissage</w:t>
            </w:r>
          </w:p>
        </w:tc>
      </w:tr>
      <w:tr w:rsidR="007867F4" w14:paraId="10C0A756" w14:textId="77777777">
        <w:tc>
          <w:tcPr>
            <w:tcW w:w="850" w:type="dxa"/>
            <w:tcMar>
              <w:top w:w="65" w:type="dxa"/>
              <w:left w:w="95" w:type="dxa"/>
              <w:bottom w:w="65" w:type="dxa"/>
              <w:right w:w="95" w:type="dxa"/>
            </w:tcMar>
            <w:vAlign w:val="center"/>
          </w:tcPr>
          <w:p w14:paraId="4BB395EA" w14:textId="77777777" w:rsidR="007867F4" w:rsidRDefault="00000000">
            <w:r>
              <w:rPr>
                <w:color w:val="000000"/>
                <w:sz w:val="17"/>
                <w:szCs w:val="17"/>
              </w:rPr>
              <w:t>Semaine 1 à 4</w:t>
            </w:r>
          </w:p>
        </w:tc>
        <w:tc>
          <w:tcPr>
            <w:tcW w:w="3250" w:type="dxa"/>
            <w:tcMar>
              <w:top w:w="65" w:type="dxa"/>
              <w:left w:w="95" w:type="dxa"/>
              <w:bottom w:w="65" w:type="dxa"/>
              <w:right w:w="95" w:type="dxa"/>
            </w:tcMar>
            <w:vAlign w:val="center"/>
          </w:tcPr>
          <w:p w14:paraId="438B0C26" w14:textId="77777777" w:rsidR="007867F4" w:rsidRDefault="00000000">
            <w:r>
              <w:rPr>
                <w:color w:val="000000"/>
                <w:sz w:val="17"/>
                <w:szCs w:val="17"/>
              </w:rPr>
              <w:t>1.01 (pivot) – Prendre soin d'une personne atteinte de la maladie d'Alzheimer, comment composer avec ses problèmes de mémoire et ses comportements inattendus, visionnée en courtes séquences quotidiennes</w:t>
            </w:r>
          </w:p>
        </w:tc>
        <w:tc>
          <w:tcPr>
            <w:tcW w:w="1350" w:type="dxa"/>
            <w:tcMar>
              <w:top w:w="65" w:type="dxa"/>
              <w:left w:w="95" w:type="dxa"/>
              <w:bottom w:w="65" w:type="dxa"/>
              <w:right w:w="95" w:type="dxa"/>
            </w:tcMar>
            <w:vAlign w:val="center"/>
          </w:tcPr>
          <w:p w14:paraId="485DD4FD" w14:textId="77777777" w:rsidR="007867F4"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52C0B6D1" w14:textId="77777777" w:rsidR="007867F4" w:rsidRDefault="00000000">
            <w:r>
              <w:rPr>
                <w:color w:val="000000"/>
                <w:sz w:val="17"/>
                <w:szCs w:val="17"/>
              </w:rPr>
              <w:t>5 h 06 (6 h 21 avec les 3 questionnaires)</w:t>
            </w:r>
          </w:p>
        </w:tc>
        <w:tc>
          <w:tcPr>
            <w:tcW w:w="4200" w:type="dxa"/>
            <w:tcMar>
              <w:top w:w="65" w:type="dxa"/>
              <w:left w:w="95" w:type="dxa"/>
              <w:bottom w:w="65" w:type="dxa"/>
              <w:right w:w="95" w:type="dxa"/>
            </w:tcMar>
            <w:vAlign w:val="center"/>
          </w:tcPr>
          <w:p w14:paraId="46323FA6" w14:textId="77777777" w:rsidR="007867F4" w:rsidRDefault="00000000">
            <w:r>
              <w:rPr>
                <w:color w:val="000000"/>
                <w:sz w:val="17"/>
                <w:szCs w:val="17"/>
              </w:rPr>
              <w:t>Comprendre les troubles neurocognitifs majeurs sous l'angle du modèle des besoins compromis et appliquer les approches de communication, de validation, de diversion et de gestion du refus lors des soins d'hygiène, de l'habillement, de la marche et de l'alimentation.</w:t>
            </w:r>
          </w:p>
        </w:tc>
      </w:tr>
      <w:tr w:rsidR="007867F4" w14:paraId="518F85DE" w14:textId="77777777">
        <w:tc>
          <w:tcPr>
            <w:tcW w:w="850" w:type="dxa"/>
            <w:shd w:val="clear" w:color="auto" w:fill="F2F2F2"/>
            <w:tcMar>
              <w:top w:w="65" w:type="dxa"/>
              <w:left w:w="95" w:type="dxa"/>
              <w:bottom w:w="65" w:type="dxa"/>
              <w:right w:w="95" w:type="dxa"/>
            </w:tcMar>
            <w:vAlign w:val="center"/>
          </w:tcPr>
          <w:p w14:paraId="49E05486" w14:textId="77777777" w:rsidR="007867F4"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3E17810E" w14:textId="77777777" w:rsidR="007867F4" w:rsidRDefault="00000000">
            <w:r>
              <w:rPr>
                <w:color w:val="000000"/>
                <w:sz w:val="17"/>
                <w:szCs w:val="17"/>
              </w:rPr>
              <w:t>Jumelage quotidien avec un préposé d'expérience ou un pilier</w:t>
            </w:r>
          </w:p>
        </w:tc>
        <w:tc>
          <w:tcPr>
            <w:tcW w:w="1350" w:type="dxa"/>
            <w:shd w:val="clear" w:color="auto" w:fill="F2F2F2"/>
            <w:tcMar>
              <w:top w:w="65" w:type="dxa"/>
              <w:left w:w="95" w:type="dxa"/>
              <w:bottom w:w="65" w:type="dxa"/>
              <w:right w:w="95" w:type="dxa"/>
            </w:tcMar>
            <w:vAlign w:val="center"/>
          </w:tcPr>
          <w:p w14:paraId="26BED0E7"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0160E718" w14:textId="77777777" w:rsidR="007867F4"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7D8E2788" w14:textId="77777777" w:rsidR="007867F4" w:rsidRDefault="00000000">
            <w:r>
              <w:rPr>
                <w:color w:val="000000"/>
                <w:sz w:val="17"/>
                <w:szCs w:val="17"/>
              </w:rPr>
              <w:t>Transférer en contexte réel, sous supervision directe, les techniques vues dans les vidéos de la semaine.</w:t>
            </w:r>
          </w:p>
        </w:tc>
      </w:tr>
      <w:tr w:rsidR="007867F4" w14:paraId="32C17814" w14:textId="77777777">
        <w:tc>
          <w:tcPr>
            <w:tcW w:w="850" w:type="dxa"/>
            <w:tcMar>
              <w:top w:w="65" w:type="dxa"/>
              <w:left w:w="95" w:type="dxa"/>
              <w:bottom w:w="65" w:type="dxa"/>
              <w:right w:w="95" w:type="dxa"/>
            </w:tcMar>
            <w:vAlign w:val="center"/>
          </w:tcPr>
          <w:p w14:paraId="0A0F659A" w14:textId="77777777" w:rsidR="007867F4" w:rsidRDefault="00000000">
            <w:r>
              <w:rPr>
                <w:color w:val="000000"/>
                <w:sz w:val="17"/>
                <w:szCs w:val="17"/>
              </w:rPr>
              <w:t>Semaines 2 à 4</w:t>
            </w:r>
          </w:p>
        </w:tc>
        <w:tc>
          <w:tcPr>
            <w:tcW w:w="3250" w:type="dxa"/>
            <w:tcMar>
              <w:top w:w="65" w:type="dxa"/>
              <w:left w:w="95" w:type="dxa"/>
              <w:bottom w:w="65" w:type="dxa"/>
              <w:right w:w="95" w:type="dxa"/>
            </w:tcMar>
            <w:vAlign w:val="center"/>
          </w:tcPr>
          <w:p w14:paraId="0BB97128" w14:textId="77777777" w:rsidR="007867F4" w:rsidRDefault="00000000">
            <w:r>
              <w:rPr>
                <w:color w:val="000000"/>
                <w:sz w:val="17"/>
                <w:szCs w:val="17"/>
              </w:rPr>
              <w:t>Jumelage hebdomadaire avec un préposé d'expérience ou un pilier</w:t>
            </w:r>
          </w:p>
        </w:tc>
        <w:tc>
          <w:tcPr>
            <w:tcW w:w="1350" w:type="dxa"/>
            <w:tcMar>
              <w:top w:w="65" w:type="dxa"/>
              <w:left w:w="95" w:type="dxa"/>
              <w:bottom w:w="65" w:type="dxa"/>
              <w:right w:w="95" w:type="dxa"/>
            </w:tcMar>
            <w:vAlign w:val="center"/>
          </w:tcPr>
          <w:p w14:paraId="6436C573" w14:textId="77777777" w:rsidR="007867F4" w:rsidRDefault="00000000">
            <w:r>
              <w:rPr>
                <w:color w:val="000000"/>
                <w:sz w:val="17"/>
                <w:szCs w:val="17"/>
              </w:rPr>
              <w:t>Coaching clinique</w:t>
            </w:r>
          </w:p>
        </w:tc>
        <w:tc>
          <w:tcPr>
            <w:tcW w:w="1150" w:type="dxa"/>
            <w:tcMar>
              <w:top w:w="65" w:type="dxa"/>
              <w:left w:w="95" w:type="dxa"/>
              <w:bottom w:w="65" w:type="dxa"/>
              <w:right w:w="95" w:type="dxa"/>
            </w:tcMar>
            <w:vAlign w:val="center"/>
          </w:tcPr>
          <w:p w14:paraId="2441B647" w14:textId="77777777" w:rsidR="007867F4" w:rsidRDefault="00000000">
            <w:r>
              <w:rPr>
                <w:color w:val="000000"/>
                <w:sz w:val="17"/>
                <w:szCs w:val="17"/>
              </w:rPr>
              <w:t>Une fois par semaine</w:t>
            </w:r>
          </w:p>
        </w:tc>
        <w:tc>
          <w:tcPr>
            <w:tcW w:w="4200" w:type="dxa"/>
            <w:tcMar>
              <w:top w:w="65" w:type="dxa"/>
              <w:left w:w="95" w:type="dxa"/>
              <w:bottom w:w="65" w:type="dxa"/>
              <w:right w:w="95" w:type="dxa"/>
            </w:tcMar>
            <w:vAlign w:val="center"/>
          </w:tcPr>
          <w:p w14:paraId="07FA920B" w14:textId="77777777" w:rsidR="007867F4" w:rsidRDefault="00000000">
            <w:r>
              <w:rPr>
                <w:color w:val="000000"/>
                <w:sz w:val="17"/>
                <w:szCs w:val="17"/>
              </w:rPr>
              <w:t>Maintenir le lien avec un employé d'expérience tout en développant progressivement son autonomie.</w:t>
            </w:r>
          </w:p>
        </w:tc>
      </w:tr>
      <w:tr w:rsidR="007867F4" w14:paraId="14BAA201" w14:textId="77777777">
        <w:tc>
          <w:tcPr>
            <w:tcW w:w="850" w:type="dxa"/>
            <w:shd w:val="clear" w:color="auto" w:fill="F2F2F2"/>
            <w:tcMar>
              <w:top w:w="65" w:type="dxa"/>
              <w:left w:w="95" w:type="dxa"/>
              <w:bottom w:w="65" w:type="dxa"/>
              <w:right w:w="95" w:type="dxa"/>
            </w:tcMar>
            <w:vAlign w:val="center"/>
          </w:tcPr>
          <w:p w14:paraId="43286710" w14:textId="77777777" w:rsidR="007867F4"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0006BBD0" w14:textId="77777777" w:rsidR="007867F4"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1D5FDCBA"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01A38DF6" w14:textId="77777777" w:rsidR="007867F4"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7A89D4EE" w14:textId="77777777" w:rsidR="007867F4" w:rsidRDefault="00000000">
            <w:r>
              <w:rPr>
                <w:color w:val="000000"/>
                <w:sz w:val="17"/>
                <w:szCs w:val="17"/>
              </w:rPr>
              <w:t>Revenir sur les notions moins bien maîtrisées et convenir d'un plan de consolidation individuel, dans un esprit d'entraide.</w:t>
            </w:r>
          </w:p>
        </w:tc>
      </w:tr>
    </w:tbl>
    <w:p w14:paraId="56E5C2D3" w14:textId="77777777" w:rsidR="007867F4" w:rsidRDefault="007867F4">
      <w:pPr>
        <w:spacing w:after="180"/>
      </w:pPr>
    </w:p>
    <w:p w14:paraId="476FF6E9" w14:textId="77777777" w:rsidR="007867F4" w:rsidRDefault="00000000">
      <w:pPr>
        <w:pStyle w:val="Titre2"/>
        <w:pBdr>
          <w:bottom w:val="single" w:sz="6" w:space="4" w:color="2E75B6"/>
        </w:pBdr>
        <w:spacing w:before="260" w:after="120"/>
      </w:pPr>
      <w:r>
        <w:rPr>
          <w:b/>
          <w:bCs/>
          <w:color w:val="1F3864"/>
          <w:sz w:val="22"/>
          <w:szCs w:val="22"/>
        </w:rPr>
        <w:t>4.2 Séquence de priorité, à partir du mois 2</w:t>
      </w:r>
    </w:p>
    <w:p w14:paraId="2D6035D1" w14:textId="77777777" w:rsidR="007867F4" w:rsidRDefault="00000000">
      <w:pPr>
        <w:spacing w:after="140" w:line="280" w:lineRule="auto"/>
      </w:pPr>
      <w:r>
        <w:t>Le tableau qui suit présente, dans l'ordre de priorité établi, les formations à voir après le mois 1, à raison d'environ deux à trois vidéos par mois au maximum, visionnées en groupe avec un pilier.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7867F4" w14:paraId="7B90CE34" w14:textId="77777777">
        <w:trPr>
          <w:tblHeader/>
        </w:trPr>
        <w:tc>
          <w:tcPr>
            <w:tcW w:w="700" w:type="dxa"/>
            <w:shd w:val="clear" w:color="auto" w:fill="1F3864"/>
            <w:tcMar>
              <w:top w:w="65" w:type="dxa"/>
              <w:left w:w="95" w:type="dxa"/>
              <w:bottom w:w="65" w:type="dxa"/>
              <w:right w:w="95" w:type="dxa"/>
            </w:tcMar>
            <w:vAlign w:val="center"/>
          </w:tcPr>
          <w:p w14:paraId="5EFD5F5A" w14:textId="77777777" w:rsidR="007867F4"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393FE406"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631B9C55" w14:textId="77777777" w:rsidR="007867F4"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35496722" w14:textId="77777777" w:rsidR="007867F4"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5C065FA9" w14:textId="77777777" w:rsidR="007867F4" w:rsidRDefault="00000000">
            <w:r>
              <w:rPr>
                <w:b/>
                <w:bCs/>
                <w:color w:val="FFFFFF"/>
                <w:sz w:val="17"/>
                <w:szCs w:val="17"/>
              </w:rPr>
              <w:t>Objectif d'apprentissage</w:t>
            </w:r>
          </w:p>
        </w:tc>
      </w:tr>
      <w:tr w:rsidR="007867F4" w14:paraId="0C4B51D6" w14:textId="77777777">
        <w:tc>
          <w:tcPr>
            <w:tcW w:w="700" w:type="dxa"/>
            <w:tcMar>
              <w:top w:w="65" w:type="dxa"/>
              <w:left w:w="95" w:type="dxa"/>
              <w:bottom w:w="65" w:type="dxa"/>
              <w:right w:w="95" w:type="dxa"/>
            </w:tcMar>
            <w:vAlign w:val="center"/>
          </w:tcPr>
          <w:p w14:paraId="7D438BBC" w14:textId="77777777" w:rsidR="007867F4" w:rsidRDefault="00000000">
            <w:r>
              <w:rPr>
                <w:color w:val="000000"/>
                <w:sz w:val="17"/>
                <w:szCs w:val="17"/>
              </w:rPr>
              <w:t>1</w:t>
            </w:r>
          </w:p>
        </w:tc>
        <w:tc>
          <w:tcPr>
            <w:tcW w:w="3550" w:type="dxa"/>
            <w:tcMar>
              <w:top w:w="65" w:type="dxa"/>
              <w:left w:w="95" w:type="dxa"/>
              <w:bottom w:w="65" w:type="dxa"/>
              <w:right w:w="95" w:type="dxa"/>
            </w:tcMar>
            <w:vAlign w:val="center"/>
          </w:tcPr>
          <w:p w14:paraId="2354AC67" w14:textId="77777777" w:rsidR="007867F4" w:rsidRDefault="00000000">
            <w:r>
              <w:rPr>
                <w:color w:val="000000"/>
                <w:sz w:val="17"/>
                <w:szCs w:val="17"/>
              </w:rPr>
              <w:t>3.15 – Les soins buccodentaires, les notions essentielles, avec questionnaire</w:t>
            </w:r>
          </w:p>
        </w:tc>
        <w:tc>
          <w:tcPr>
            <w:tcW w:w="1350" w:type="dxa"/>
            <w:tcMar>
              <w:top w:w="65" w:type="dxa"/>
              <w:left w:w="95" w:type="dxa"/>
              <w:bottom w:w="65" w:type="dxa"/>
              <w:right w:w="95" w:type="dxa"/>
            </w:tcMar>
            <w:vAlign w:val="center"/>
          </w:tcPr>
          <w:p w14:paraId="02669DB3" w14:textId="77777777" w:rsidR="007867F4" w:rsidRDefault="00000000">
            <w:r>
              <w:rPr>
                <w:color w:val="000000"/>
                <w:sz w:val="17"/>
                <w:szCs w:val="17"/>
              </w:rPr>
              <w:t>Vidéo asynchrone, 5 vidéos</w:t>
            </w:r>
          </w:p>
        </w:tc>
        <w:tc>
          <w:tcPr>
            <w:tcW w:w="1400" w:type="dxa"/>
            <w:tcMar>
              <w:top w:w="65" w:type="dxa"/>
              <w:left w:w="95" w:type="dxa"/>
              <w:bottom w:w="65" w:type="dxa"/>
              <w:right w:w="95" w:type="dxa"/>
            </w:tcMar>
            <w:vAlign w:val="center"/>
          </w:tcPr>
          <w:p w14:paraId="35BC8AEF" w14:textId="77777777" w:rsidR="007867F4" w:rsidRDefault="00000000">
            <w:r>
              <w:rPr>
                <w:color w:val="000000"/>
                <w:sz w:val="17"/>
                <w:szCs w:val="17"/>
              </w:rPr>
              <w:t>1 h 54 (2 h 19 avec questionnaire)</w:t>
            </w:r>
          </w:p>
        </w:tc>
        <w:tc>
          <w:tcPr>
            <w:tcW w:w="3800" w:type="dxa"/>
            <w:tcMar>
              <w:top w:w="65" w:type="dxa"/>
              <w:left w:w="95" w:type="dxa"/>
              <w:bottom w:w="65" w:type="dxa"/>
              <w:right w:w="95" w:type="dxa"/>
            </w:tcMar>
            <w:vAlign w:val="center"/>
          </w:tcPr>
          <w:p w14:paraId="1D2AC16E" w14:textId="77777777" w:rsidR="007867F4" w:rsidRDefault="00000000">
            <w:r>
              <w:rPr>
                <w:color w:val="000000"/>
                <w:sz w:val="17"/>
                <w:szCs w:val="17"/>
              </w:rPr>
              <w:t>Assurer les soins d'hygiène buccodentaire quotidiens et reconnaître les situations nécessitant une consultation.</w:t>
            </w:r>
          </w:p>
        </w:tc>
      </w:tr>
      <w:tr w:rsidR="007867F4" w14:paraId="214E8A4E" w14:textId="77777777">
        <w:tc>
          <w:tcPr>
            <w:tcW w:w="700" w:type="dxa"/>
            <w:shd w:val="clear" w:color="auto" w:fill="F2F2F2"/>
            <w:tcMar>
              <w:top w:w="65" w:type="dxa"/>
              <w:left w:w="95" w:type="dxa"/>
              <w:bottom w:w="65" w:type="dxa"/>
              <w:right w:w="95" w:type="dxa"/>
            </w:tcMar>
            <w:vAlign w:val="center"/>
          </w:tcPr>
          <w:p w14:paraId="408F2D0C" w14:textId="77777777" w:rsidR="007867F4"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4FC008F0" w14:textId="77777777" w:rsidR="007867F4" w:rsidRDefault="00000000">
            <w:r>
              <w:rPr>
                <w:color w:val="000000"/>
                <w:sz w:val="17"/>
                <w:szCs w:val="17"/>
              </w:rPr>
              <w:t>3.16 – Les soins podologiques, extrait sur la coupe sécuritaire des ongles</w:t>
            </w:r>
          </w:p>
        </w:tc>
        <w:tc>
          <w:tcPr>
            <w:tcW w:w="1350" w:type="dxa"/>
            <w:shd w:val="clear" w:color="auto" w:fill="F2F2F2"/>
            <w:tcMar>
              <w:top w:w="65" w:type="dxa"/>
              <w:left w:w="95" w:type="dxa"/>
              <w:bottom w:w="65" w:type="dxa"/>
              <w:right w:w="95" w:type="dxa"/>
            </w:tcMar>
            <w:vAlign w:val="center"/>
          </w:tcPr>
          <w:p w14:paraId="1523C864" w14:textId="77777777" w:rsidR="007867F4" w:rsidRDefault="00000000">
            <w:r>
              <w:rPr>
                <w:color w:val="000000"/>
                <w:sz w:val="17"/>
                <w:szCs w:val="17"/>
              </w:rPr>
              <w:t>Vidéo asynchrone (extrait)</w:t>
            </w:r>
          </w:p>
        </w:tc>
        <w:tc>
          <w:tcPr>
            <w:tcW w:w="1400" w:type="dxa"/>
            <w:shd w:val="clear" w:color="auto" w:fill="F2F2F2"/>
            <w:tcMar>
              <w:top w:w="65" w:type="dxa"/>
              <w:left w:w="95" w:type="dxa"/>
              <w:bottom w:w="65" w:type="dxa"/>
              <w:right w:w="95" w:type="dxa"/>
            </w:tcMar>
            <w:vAlign w:val="center"/>
          </w:tcPr>
          <w:p w14:paraId="18CB58B5" w14:textId="77777777" w:rsidR="007867F4" w:rsidRDefault="00000000">
            <w:r>
              <w:rPr>
                <w:color w:val="000000"/>
                <w:sz w:val="17"/>
                <w:szCs w:val="17"/>
              </w:rPr>
              <w:t>Quelques minutes</w:t>
            </w:r>
          </w:p>
        </w:tc>
        <w:tc>
          <w:tcPr>
            <w:tcW w:w="3800" w:type="dxa"/>
            <w:shd w:val="clear" w:color="auto" w:fill="F2F2F2"/>
            <w:tcMar>
              <w:top w:w="65" w:type="dxa"/>
              <w:left w:w="95" w:type="dxa"/>
              <w:bottom w:w="65" w:type="dxa"/>
              <w:right w:w="95" w:type="dxa"/>
            </w:tcMar>
            <w:vAlign w:val="center"/>
          </w:tcPr>
          <w:p w14:paraId="4C16C9F5" w14:textId="77777777" w:rsidR="007867F4" w:rsidRDefault="00000000">
            <w:r>
              <w:rPr>
                <w:color w:val="000000"/>
                <w:sz w:val="17"/>
                <w:szCs w:val="17"/>
              </w:rPr>
              <w:t>Effectuer une coupe sécuritaire des ongles chez la personne âgée.</w:t>
            </w:r>
          </w:p>
        </w:tc>
      </w:tr>
      <w:tr w:rsidR="007867F4" w14:paraId="34FB928E" w14:textId="77777777">
        <w:tc>
          <w:tcPr>
            <w:tcW w:w="700" w:type="dxa"/>
            <w:tcMar>
              <w:top w:w="65" w:type="dxa"/>
              <w:left w:w="95" w:type="dxa"/>
              <w:bottom w:w="65" w:type="dxa"/>
              <w:right w:w="95" w:type="dxa"/>
            </w:tcMar>
            <w:vAlign w:val="center"/>
          </w:tcPr>
          <w:p w14:paraId="5D1CA50E" w14:textId="77777777" w:rsidR="007867F4" w:rsidRDefault="00000000">
            <w:r>
              <w:rPr>
                <w:color w:val="000000"/>
                <w:sz w:val="17"/>
                <w:szCs w:val="17"/>
              </w:rPr>
              <w:t>3</w:t>
            </w:r>
          </w:p>
        </w:tc>
        <w:tc>
          <w:tcPr>
            <w:tcW w:w="3550" w:type="dxa"/>
            <w:tcMar>
              <w:top w:w="65" w:type="dxa"/>
              <w:left w:w="95" w:type="dxa"/>
              <w:bottom w:w="65" w:type="dxa"/>
              <w:right w:w="95" w:type="dxa"/>
            </w:tcMar>
            <w:vAlign w:val="center"/>
          </w:tcPr>
          <w:p w14:paraId="2EF4F84F" w14:textId="77777777" w:rsidR="007867F4" w:rsidRDefault="00000000">
            <w:r>
              <w:rPr>
                <w:color w:val="000000"/>
                <w:sz w:val="17"/>
                <w:szCs w:val="17"/>
              </w:rPr>
              <w:t>1.02 – Décoder les comportements menaçants, avec questionnaire</w:t>
            </w:r>
          </w:p>
        </w:tc>
        <w:tc>
          <w:tcPr>
            <w:tcW w:w="1350" w:type="dxa"/>
            <w:tcMar>
              <w:top w:w="65" w:type="dxa"/>
              <w:left w:w="95" w:type="dxa"/>
              <w:bottom w:w="65" w:type="dxa"/>
              <w:right w:w="95" w:type="dxa"/>
            </w:tcMar>
            <w:vAlign w:val="center"/>
          </w:tcPr>
          <w:p w14:paraId="06E6A999" w14:textId="77777777" w:rsidR="007867F4" w:rsidRDefault="00000000">
            <w:r>
              <w:rPr>
                <w:color w:val="000000"/>
                <w:sz w:val="17"/>
                <w:szCs w:val="17"/>
              </w:rPr>
              <w:t>Vidéo asynchrone, 7 vidéos</w:t>
            </w:r>
          </w:p>
        </w:tc>
        <w:tc>
          <w:tcPr>
            <w:tcW w:w="1400" w:type="dxa"/>
            <w:tcMar>
              <w:top w:w="65" w:type="dxa"/>
              <w:left w:w="95" w:type="dxa"/>
              <w:bottom w:w="65" w:type="dxa"/>
              <w:right w:w="95" w:type="dxa"/>
            </w:tcMar>
            <w:vAlign w:val="center"/>
          </w:tcPr>
          <w:p w14:paraId="5A04FD37" w14:textId="77777777" w:rsidR="007867F4" w:rsidRDefault="00000000">
            <w:r>
              <w:rPr>
                <w:color w:val="000000"/>
                <w:sz w:val="17"/>
                <w:szCs w:val="17"/>
              </w:rPr>
              <w:t>1 h 52 (2 h 17 avec questionnaire)</w:t>
            </w:r>
          </w:p>
        </w:tc>
        <w:tc>
          <w:tcPr>
            <w:tcW w:w="3800" w:type="dxa"/>
            <w:tcMar>
              <w:top w:w="65" w:type="dxa"/>
              <w:left w:w="95" w:type="dxa"/>
              <w:bottom w:w="65" w:type="dxa"/>
              <w:right w:w="95" w:type="dxa"/>
            </w:tcMar>
            <w:vAlign w:val="center"/>
          </w:tcPr>
          <w:p w14:paraId="0C730E63" w14:textId="77777777" w:rsidR="007867F4" w:rsidRDefault="00000000">
            <w:r>
              <w:rPr>
                <w:color w:val="000000"/>
                <w:sz w:val="17"/>
                <w:szCs w:val="17"/>
              </w:rPr>
              <w:t>Reconnaître les signes précurseurs d'un comportement menaçant et appliquer les stratégies de protection appropriées.</w:t>
            </w:r>
          </w:p>
        </w:tc>
      </w:tr>
      <w:tr w:rsidR="007867F4" w14:paraId="79B82F95" w14:textId="77777777">
        <w:tc>
          <w:tcPr>
            <w:tcW w:w="700" w:type="dxa"/>
            <w:shd w:val="clear" w:color="auto" w:fill="F2F2F2"/>
            <w:tcMar>
              <w:top w:w="65" w:type="dxa"/>
              <w:left w:w="95" w:type="dxa"/>
              <w:bottom w:w="65" w:type="dxa"/>
              <w:right w:w="95" w:type="dxa"/>
            </w:tcMar>
            <w:vAlign w:val="center"/>
          </w:tcPr>
          <w:p w14:paraId="323219F8" w14:textId="77777777" w:rsidR="007867F4"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471B0467" w14:textId="77777777" w:rsidR="007867F4" w:rsidRDefault="00000000">
            <w:r>
              <w:rPr>
                <w:color w:val="000000"/>
                <w:sz w:val="17"/>
                <w:szCs w:val="17"/>
              </w:rPr>
              <w:t>1.07 – Prévention des infections, garder un patient atteint de problèmes cognitifs dans sa chambre</w:t>
            </w:r>
          </w:p>
        </w:tc>
        <w:tc>
          <w:tcPr>
            <w:tcW w:w="1350" w:type="dxa"/>
            <w:shd w:val="clear" w:color="auto" w:fill="F2F2F2"/>
            <w:tcMar>
              <w:top w:w="65" w:type="dxa"/>
              <w:left w:w="95" w:type="dxa"/>
              <w:bottom w:w="65" w:type="dxa"/>
              <w:right w:w="95" w:type="dxa"/>
            </w:tcMar>
            <w:vAlign w:val="center"/>
          </w:tcPr>
          <w:p w14:paraId="7284BDEE"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69773D7B" w14:textId="77777777" w:rsidR="007867F4" w:rsidRDefault="00000000">
            <w:r>
              <w:rPr>
                <w:color w:val="000000"/>
                <w:sz w:val="17"/>
                <w:szCs w:val="17"/>
              </w:rPr>
              <w:t>14 min</w:t>
            </w:r>
          </w:p>
        </w:tc>
        <w:tc>
          <w:tcPr>
            <w:tcW w:w="3800" w:type="dxa"/>
            <w:shd w:val="clear" w:color="auto" w:fill="F2F2F2"/>
            <w:tcMar>
              <w:top w:w="65" w:type="dxa"/>
              <w:left w:w="95" w:type="dxa"/>
              <w:bottom w:w="65" w:type="dxa"/>
              <w:right w:w="95" w:type="dxa"/>
            </w:tcMar>
            <w:vAlign w:val="center"/>
          </w:tcPr>
          <w:p w14:paraId="1E7E98CA" w14:textId="77777777" w:rsidR="007867F4" w:rsidRDefault="00000000">
            <w:r>
              <w:rPr>
                <w:color w:val="000000"/>
                <w:sz w:val="17"/>
                <w:szCs w:val="17"/>
              </w:rPr>
              <w:t>Appliquer des stratégies pour maintenir un patient isolé en raison d'une infection, sans provoquer de détresse.</w:t>
            </w:r>
          </w:p>
        </w:tc>
      </w:tr>
      <w:tr w:rsidR="007867F4" w14:paraId="43118258" w14:textId="77777777">
        <w:tc>
          <w:tcPr>
            <w:tcW w:w="700" w:type="dxa"/>
            <w:tcMar>
              <w:top w:w="65" w:type="dxa"/>
              <w:left w:w="95" w:type="dxa"/>
              <w:bottom w:w="65" w:type="dxa"/>
              <w:right w:w="95" w:type="dxa"/>
            </w:tcMar>
            <w:vAlign w:val="center"/>
          </w:tcPr>
          <w:p w14:paraId="2A065BCB" w14:textId="77777777" w:rsidR="007867F4" w:rsidRDefault="00000000">
            <w:r>
              <w:rPr>
                <w:color w:val="000000"/>
                <w:sz w:val="17"/>
                <w:szCs w:val="17"/>
              </w:rPr>
              <w:t>5</w:t>
            </w:r>
          </w:p>
        </w:tc>
        <w:tc>
          <w:tcPr>
            <w:tcW w:w="3550" w:type="dxa"/>
            <w:tcMar>
              <w:top w:w="65" w:type="dxa"/>
              <w:left w:w="95" w:type="dxa"/>
              <w:bottom w:w="65" w:type="dxa"/>
              <w:right w:w="95" w:type="dxa"/>
            </w:tcMar>
            <w:vAlign w:val="center"/>
          </w:tcPr>
          <w:p w14:paraId="50FC4D8B" w14:textId="77777777" w:rsidR="007867F4" w:rsidRDefault="00000000">
            <w:r>
              <w:rPr>
                <w:color w:val="000000"/>
                <w:sz w:val="17"/>
                <w:szCs w:val="17"/>
              </w:rPr>
              <w:t>2.05 – Détection et surveillance clinique de la douleur chez les patients atteints de TNCM</w:t>
            </w:r>
          </w:p>
        </w:tc>
        <w:tc>
          <w:tcPr>
            <w:tcW w:w="1350" w:type="dxa"/>
            <w:tcMar>
              <w:top w:w="65" w:type="dxa"/>
              <w:left w:w="95" w:type="dxa"/>
              <w:bottom w:w="65" w:type="dxa"/>
              <w:right w:w="95" w:type="dxa"/>
            </w:tcMar>
            <w:vAlign w:val="center"/>
          </w:tcPr>
          <w:p w14:paraId="7A379C51"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4274D2ED" w14:textId="77777777" w:rsidR="007867F4" w:rsidRDefault="00000000">
            <w:r>
              <w:rPr>
                <w:color w:val="000000"/>
                <w:sz w:val="17"/>
                <w:szCs w:val="17"/>
              </w:rPr>
              <w:t>19 min</w:t>
            </w:r>
          </w:p>
        </w:tc>
        <w:tc>
          <w:tcPr>
            <w:tcW w:w="3800" w:type="dxa"/>
            <w:tcMar>
              <w:top w:w="65" w:type="dxa"/>
              <w:left w:w="95" w:type="dxa"/>
              <w:bottom w:w="65" w:type="dxa"/>
              <w:right w:w="95" w:type="dxa"/>
            </w:tcMar>
            <w:vAlign w:val="center"/>
          </w:tcPr>
          <w:p w14:paraId="16CC9F8C" w14:textId="77777777" w:rsidR="007867F4" w:rsidRDefault="00000000">
            <w:r>
              <w:rPr>
                <w:color w:val="000000"/>
                <w:sz w:val="17"/>
                <w:szCs w:val="17"/>
              </w:rPr>
              <w:t>Repérer les signes non verbaux de douleur chez un patient qui ne peut l'exprimer clairement.</w:t>
            </w:r>
          </w:p>
        </w:tc>
      </w:tr>
      <w:tr w:rsidR="007867F4" w14:paraId="71B15CB4" w14:textId="77777777">
        <w:tc>
          <w:tcPr>
            <w:tcW w:w="700" w:type="dxa"/>
            <w:shd w:val="clear" w:color="auto" w:fill="F2F2F2"/>
            <w:tcMar>
              <w:top w:w="65" w:type="dxa"/>
              <w:left w:w="95" w:type="dxa"/>
              <w:bottom w:w="65" w:type="dxa"/>
              <w:right w:w="95" w:type="dxa"/>
            </w:tcMar>
            <w:vAlign w:val="center"/>
          </w:tcPr>
          <w:p w14:paraId="11C2448F" w14:textId="77777777" w:rsidR="007867F4"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64CCEC93" w14:textId="77777777" w:rsidR="007867F4" w:rsidRDefault="00000000">
            <w:r>
              <w:rPr>
                <w:color w:val="000000"/>
                <w:sz w:val="17"/>
                <w:szCs w:val="17"/>
              </w:rPr>
              <w:t>2.06 – Reconnaître un état de santé instable, formation pour les non-professionnels de la santé, avec questionnaire</w:t>
            </w:r>
          </w:p>
        </w:tc>
        <w:tc>
          <w:tcPr>
            <w:tcW w:w="1350" w:type="dxa"/>
            <w:shd w:val="clear" w:color="auto" w:fill="F2F2F2"/>
            <w:tcMar>
              <w:top w:w="65" w:type="dxa"/>
              <w:left w:w="95" w:type="dxa"/>
              <w:bottom w:w="65" w:type="dxa"/>
              <w:right w:w="95" w:type="dxa"/>
            </w:tcMar>
            <w:vAlign w:val="center"/>
          </w:tcPr>
          <w:p w14:paraId="249CC04F"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2C8A68AC" w14:textId="77777777" w:rsidR="007867F4" w:rsidRDefault="00000000">
            <w:r>
              <w:rPr>
                <w:color w:val="000000"/>
                <w:sz w:val="17"/>
                <w:szCs w:val="17"/>
              </w:rPr>
              <w:t>15 min (25 min avec questionnaire)</w:t>
            </w:r>
          </w:p>
        </w:tc>
        <w:tc>
          <w:tcPr>
            <w:tcW w:w="3800" w:type="dxa"/>
            <w:shd w:val="clear" w:color="auto" w:fill="F2F2F2"/>
            <w:tcMar>
              <w:top w:w="65" w:type="dxa"/>
              <w:left w:w="95" w:type="dxa"/>
              <w:bottom w:w="65" w:type="dxa"/>
              <w:right w:w="95" w:type="dxa"/>
            </w:tcMar>
            <w:vAlign w:val="center"/>
          </w:tcPr>
          <w:p w14:paraId="54DE5D62" w14:textId="77777777" w:rsidR="007867F4" w:rsidRDefault="00000000">
            <w:r>
              <w:rPr>
                <w:color w:val="000000"/>
                <w:sz w:val="17"/>
                <w:szCs w:val="17"/>
              </w:rPr>
              <w:t>Détecter rapidement une détérioration de l'état de santé et aviser la bonne personne.</w:t>
            </w:r>
          </w:p>
        </w:tc>
      </w:tr>
      <w:tr w:rsidR="007867F4" w14:paraId="1E9091D0" w14:textId="77777777">
        <w:tc>
          <w:tcPr>
            <w:tcW w:w="700" w:type="dxa"/>
            <w:tcMar>
              <w:top w:w="65" w:type="dxa"/>
              <w:left w:w="95" w:type="dxa"/>
              <w:bottom w:w="65" w:type="dxa"/>
              <w:right w:w="95" w:type="dxa"/>
            </w:tcMar>
            <w:vAlign w:val="center"/>
          </w:tcPr>
          <w:p w14:paraId="3C3E5901" w14:textId="77777777" w:rsidR="007867F4" w:rsidRDefault="00000000">
            <w:r>
              <w:rPr>
                <w:color w:val="000000"/>
                <w:sz w:val="17"/>
                <w:szCs w:val="17"/>
              </w:rPr>
              <w:t>7</w:t>
            </w:r>
          </w:p>
        </w:tc>
        <w:tc>
          <w:tcPr>
            <w:tcW w:w="3550" w:type="dxa"/>
            <w:tcMar>
              <w:top w:w="65" w:type="dxa"/>
              <w:left w:w="95" w:type="dxa"/>
              <w:bottom w:w="65" w:type="dxa"/>
              <w:right w:w="95" w:type="dxa"/>
            </w:tcMar>
            <w:vAlign w:val="center"/>
          </w:tcPr>
          <w:p w14:paraId="3EE95FB1" w14:textId="77777777" w:rsidR="007867F4" w:rsidRDefault="00000000">
            <w:r>
              <w:rPr>
                <w:color w:val="000000"/>
                <w:sz w:val="17"/>
                <w:szCs w:val="17"/>
              </w:rPr>
              <w:t xml:space="preserve">3.03 – Appliquer les interventions préventives de déconditionnement, </w:t>
            </w:r>
            <w:proofErr w:type="gramStart"/>
            <w:r>
              <w:rPr>
                <w:color w:val="000000"/>
                <w:sz w:val="17"/>
                <w:szCs w:val="17"/>
              </w:rPr>
              <w:t>version préposés</w:t>
            </w:r>
            <w:proofErr w:type="gramEnd"/>
            <w:r>
              <w:rPr>
                <w:color w:val="000000"/>
                <w:sz w:val="17"/>
                <w:szCs w:val="17"/>
              </w:rPr>
              <w:t>, avec questionnaire</w:t>
            </w:r>
          </w:p>
        </w:tc>
        <w:tc>
          <w:tcPr>
            <w:tcW w:w="1350" w:type="dxa"/>
            <w:tcMar>
              <w:top w:w="65" w:type="dxa"/>
              <w:left w:w="95" w:type="dxa"/>
              <w:bottom w:w="65" w:type="dxa"/>
              <w:right w:w="95" w:type="dxa"/>
            </w:tcMar>
            <w:vAlign w:val="center"/>
          </w:tcPr>
          <w:p w14:paraId="1A08EB76" w14:textId="77777777" w:rsidR="007867F4" w:rsidRDefault="00000000">
            <w:r>
              <w:rPr>
                <w:color w:val="000000"/>
                <w:sz w:val="17"/>
                <w:szCs w:val="17"/>
              </w:rPr>
              <w:t>Vidéo asynchrone, 6 vidéos</w:t>
            </w:r>
          </w:p>
        </w:tc>
        <w:tc>
          <w:tcPr>
            <w:tcW w:w="1400" w:type="dxa"/>
            <w:tcMar>
              <w:top w:w="65" w:type="dxa"/>
              <w:left w:w="95" w:type="dxa"/>
              <w:bottom w:w="65" w:type="dxa"/>
              <w:right w:w="95" w:type="dxa"/>
            </w:tcMar>
            <w:vAlign w:val="center"/>
          </w:tcPr>
          <w:p w14:paraId="633DBF65" w14:textId="77777777" w:rsidR="007867F4" w:rsidRDefault="00000000">
            <w:r>
              <w:rPr>
                <w:color w:val="000000"/>
                <w:sz w:val="17"/>
                <w:szCs w:val="17"/>
              </w:rPr>
              <w:t>2 h 01 (2 h 26 avec questionnaire)</w:t>
            </w:r>
          </w:p>
        </w:tc>
        <w:tc>
          <w:tcPr>
            <w:tcW w:w="3800" w:type="dxa"/>
            <w:tcMar>
              <w:top w:w="65" w:type="dxa"/>
              <w:left w:w="95" w:type="dxa"/>
              <w:bottom w:w="65" w:type="dxa"/>
              <w:right w:w="95" w:type="dxa"/>
            </w:tcMar>
            <w:vAlign w:val="center"/>
          </w:tcPr>
          <w:p w14:paraId="52E46201" w14:textId="77777777" w:rsidR="007867F4" w:rsidRDefault="00000000">
            <w:r>
              <w:rPr>
                <w:color w:val="000000"/>
                <w:sz w:val="17"/>
                <w:szCs w:val="17"/>
              </w:rPr>
              <w:t>Appliquer les interventions qui préviennent la perte d'autonomie physique et le delirium chez la personne âgée hospitalisée.</w:t>
            </w:r>
          </w:p>
        </w:tc>
      </w:tr>
      <w:tr w:rsidR="007867F4" w14:paraId="592F25E5" w14:textId="77777777">
        <w:tc>
          <w:tcPr>
            <w:tcW w:w="700" w:type="dxa"/>
            <w:shd w:val="clear" w:color="auto" w:fill="F2F2F2"/>
            <w:tcMar>
              <w:top w:w="65" w:type="dxa"/>
              <w:left w:w="95" w:type="dxa"/>
              <w:bottom w:w="65" w:type="dxa"/>
              <w:right w:w="95" w:type="dxa"/>
            </w:tcMar>
            <w:vAlign w:val="center"/>
          </w:tcPr>
          <w:p w14:paraId="2B369D0C" w14:textId="77777777" w:rsidR="007867F4"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6933AFF2" w14:textId="77777777" w:rsidR="007867F4" w:rsidRDefault="00000000">
            <w:r>
              <w:rPr>
                <w:color w:val="000000"/>
                <w:sz w:val="17"/>
                <w:szCs w:val="17"/>
              </w:rPr>
              <w:t>3.08 – Les activités occupationnelles, mode d'emploi pour stimuler les personnes atteintes de problèmes cognitifs</w:t>
            </w:r>
          </w:p>
        </w:tc>
        <w:tc>
          <w:tcPr>
            <w:tcW w:w="1350" w:type="dxa"/>
            <w:shd w:val="clear" w:color="auto" w:fill="F2F2F2"/>
            <w:tcMar>
              <w:top w:w="65" w:type="dxa"/>
              <w:left w:w="95" w:type="dxa"/>
              <w:bottom w:w="65" w:type="dxa"/>
              <w:right w:w="95" w:type="dxa"/>
            </w:tcMar>
            <w:vAlign w:val="center"/>
          </w:tcPr>
          <w:p w14:paraId="7EF1C7E7"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1C8EE5D3" w14:textId="77777777" w:rsidR="007867F4" w:rsidRDefault="00000000">
            <w:r>
              <w:rPr>
                <w:color w:val="000000"/>
                <w:sz w:val="17"/>
                <w:szCs w:val="17"/>
              </w:rPr>
              <w:t>31 min</w:t>
            </w:r>
          </w:p>
        </w:tc>
        <w:tc>
          <w:tcPr>
            <w:tcW w:w="3800" w:type="dxa"/>
            <w:shd w:val="clear" w:color="auto" w:fill="F2F2F2"/>
            <w:tcMar>
              <w:top w:w="65" w:type="dxa"/>
              <w:left w:w="95" w:type="dxa"/>
              <w:bottom w:w="65" w:type="dxa"/>
              <w:right w:w="95" w:type="dxa"/>
            </w:tcMar>
            <w:vAlign w:val="center"/>
          </w:tcPr>
          <w:p w14:paraId="3113A1B3" w14:textId="77777777" w:rsidR="007867F4" w:rsidRDefault="00000000">
            <w:r>
              <w:rPr>
                <w:color w:val="000000"/>
                <w:sz w:val="17"/>
                <w:szCs w:val="17"/>
              </w:rPr>
              <w:t>Proposer des activités qui stimulent adéquatement le patient selon ses capacités réelles.</w:t>
            </w:r>
          </w:p>
        </w:tc>
      </w:tr>
    </w:tbl>
    <w:p w14:paraId="00CDA22E" w14:textId="77777777" w:rsidR="007867F4" w:rsidRDefault="007867F4">
      <w:pPr>
        <w:spacing w:after="140"/>
      </w:pPr>
    </w:p>
    <w:p w14:paraId="6BD365F9" w14:textId="77777777" w:rsidR="007867F4" w:rsidRDefault="00000000">
      <w:pPr>
        <w:spacing w:after="140" w:line="270" w:lineRule="auto"/>
      </w:pPr>
      <w:r>
        <w:rPr>
          <w:i/>
          <w:iCs/>
          <w:color w:val="555555"/>
          <w:sz w:val="19"/>
          <w:szCs w:val="19"/>
        </w:rPr>
        <w:t>Une fois cette séquence complétée, les formations suivantes seront choisies selon les priorités du milieu, en co-construction avec le personnel concerné.</w:t>
      </w:r>
    </w:p>
    <w:p w14:paraId="27FBE231"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683A7170" w14:textId="77777777">
        <w:tc>
          <w:tcPr>
            <w:tcW w:w="10800" w:type="dxa"/>
            <w:shd w:val="clear" w:color="auto" w:fill="1F3864"/>
            <w:tcMar>
              <w:top w:w="150" w:type="dxa"/>
              <w:left w:w="180" w:type="dxa"/>
              <w:bottom w:w="150" w:type="dxa"/>
              <w:right w:w="180" w:type="dxa"/>
            </w:tcMar>
          </w:tcPr>
          <w:p w14:paraId="05214400" w14:textId="77777777" w:rsidR="007867F4" w:rsidRDefault="00000000">
            <w:pPr>
              <w:pStyle w:val="Titre1"/>
            </w:pPr>
            <w:r>
              <w:rPr>
                <w:b/>
                <w:bCs/>
                <w:color w:val="FFFFFF"/>
                <w:sz w:val="25"/>
                <w:szCs w:val="25"/>
              </w:rPr>
              <w:lastRenderedPageBreak/>
              <w:t>5. Plan de formation, infirmières auxiliaires et infirmiers auxiliaires</w:t>
            </w:r>
          </w:p>
        </w:tc>
      </w:tr>
    </w:tbl>
    <w:p w14:paraId="251ED3CB" w14:textId="77777777" w:rsidR="007867F4" w:rsidRDefault="007867F4">
      <w:pPr>
        <w:spacing w:after="140"/>
      </w:pPr>
    </w:p>
    <w:p w14:paraId="2AAFE11F" w14:textId="77777777" w:rsidR="007867F4" w:rsidRDefault="00000000">
      <w:pPr>
        <w:pStyle w:val="Titre2"/>
        <w:pBdr>
          <w:bottom w:val="single" w:sz="6" w:space="4" w:color="2E75B6"/>
        </w:pBdr>
        <w:spacing w:before="260" w:after="120"/>
      </w:pPr>
      <w:r>
        <w:rPr>
          <w:b/>
          <w:bCs/>
          <w:color w:val="1F3864"/>
          <w:sz w:val="22"/>
          <w:szCs w:val="22"/>
        </w:rPr>
        <w:t>5.1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20"/>
        <w:gridCol w:w="1345"/>
        <w:gridCol w:w="1229"/>
        <w:gridCol w:w="4157"/>
      </w:tblGrid>
      <w:tr w:rsidR="007867F4" w14:paraId="29C22B44" w14:textId="77777777">
        <w:trPr>
          <w:tblHeader/>
        </w:trPr>
        <w:tc>
          <w:tcPr>
            <w:tcW w:w="850" w:type="dxa"/>
            <w:shd w:val="clear" w:color="auto" w:fill="1F3864"/>
            <w:tcMar>
              <w:top w:w="65" w:type="dxa"/>
              <w:left w:w="95" w:type="dxa"/>
              <w:bottom w:w="65" w:type="dxa"/>
              <w:right w:w="95" w:type="dxa"/>
            </w:tcMar>
            <w:vAlign w:val="center"/>
          </w:tcPr>
          <w:p w14:paraId="385C3BF4" w14:textId="77777777" w:rsidR="007867F4"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4574C360"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2B781B82" w14:textId="77777777" w:rsidR="007867F4"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39C417B4" w14:textId="77777777" w:rsidR="007867F4"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32CE2730" w14:textId="77777777" w:rsidR="007867F4" w:rsidRDefault="00000000">
            <w:r>
              <w:rPr>
                <w:b/>
                <w:bCs/>
                <w:color w:val="FFFFFF"/>
                <w:sz w:val="17"/>
                <w:szCs w:val="17"/>
              </w:rPr>
              <w:t>Objectif d'apprentissage</w:t>
            </w:r>
          </w:p>
        </w:tc>
      </w:tr>
      <w:tr w:rsidR="007867F4" w14:paraId="25DCAE7A" w14:textId="77777777">
        <w:tc>
          <w:tcPr>
            <w:tcW w:w="850" w:type="dxa"/>
            <w:tcMar>
              <w:top w:w="65" w:type="dxa"/>
              <w:left w:w="95" w:type="dxa"/>
              <w:bottom w:w="65" w:type="dxa"/>
              <w:right w:w="95" w:type="dxa"/>
            </w:tcMar>
            <w:vAlign w:val="center"/>
          </w:tcPr>
          <w:p w14:paraId="1902867A" w14:textId="77777777" w:rsidR="007867F4" w:rsidRDefault="00000000">
            <w:r>
              <w:rPr>
                <w:color w:val="000000"/>
                <w:sz w:val="17"/>
                <w:szCs w:val="17"/>
              </w:rPr>
              <w:t>Semaine 1 à 4</w:t>
            </w:r>
          </w:p>
        </w:tc>
        <w:tc>
          <w:tcPr>
            <w:tcW w:w="3250" w:type="dxa"/>
            <w:tcMar>
              <w:top w:w="65" w:type="dxa"/>
              <w:left w:w="95" w:type="dxa"/>
              <w:bottom w:w="65" w:type="dxa"/>
              <w:right w:w="95" w:type="dxa"/>
            </w:tcMar>
            <w:vAlign w:val="center"/>
          </w:tcPr>
          <w:p w14:paraId="10EDC7B2" w14:textId="77777777" w:rsidR="007867F4" w:rsidRDefault="00000000">
            <w:r>
              <w:rPr>
                <w:color w:val="000000"/>
                <w:sz w:val="17"/>
                <w:szCs w:val="17"/>
              </w:rPr>
              <w:t>1.01 (pivot) – Prendre soin d'une personne atteinte de la maladie d'Alzheimer, comment composer avec ses problèmes de mémoire et ses comportements inattendus</w:t>
            </w:r>
          </w:p>
        </w:tc>
        <w:tc>
          <w:tcPr>
            <w:tcW w:w="1350" w:type="dxa"/>
            <w:tcMar>
              <w:top w:w="65" w:type="dxa"/>
              <w:left w:w="95" w:type="dxa"/>
              <w:bottom w:w="65" w:type="dxa"/>
              <w:right w:w="95" w:type="dxa"/>
            </w:tcMar>
            <w:vAlign w:val="center"/>
          </w:tcPr>
          <w:p w14:paraId="0D12B52F" w14:textId="77777777" w:rsidR="007867F4"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21BD846C" w14:textId="77777777" w:rsidR="007867F4" w:rsidRDefault="00000000">
            <w:r>
              <w:rPr>
                <w:color w:val="000000"/>
                <w:sz w:val="17"/>
                <w:szCs w:val="17"/>
              </w:rPr>
              <w:t>5 h 06 (6 h 21 avec les 3 questionnaires)</w:t>
            </w:r>
          </w:p>
        </w:tc>
        <w:tc>
          <w:tcPr>
            <w:tcW w:w="4200" w:type="dxa"/>
            <w:tcMar>
              <w:top w:w="65" w:type="dxa"/>
              <w:left w:w="95" w:type="dxa"/>
              <w:bottom w:w="65" w:type="dxa"/>
              <w:right w:w="95" w:type="dxa"/>
            </w:tcMar>
            <w:vAlign w:val="center"/>
          </w:tcPr>
          <w:p w14:paraId="7E8DED7C" w14:textId="77777777" w:rsidR="007867F4" w:rsidRDefault="00000000">
            <w:r>
              <w:rPr>
                <w:color w:val="000000"/>
                <w:sz w:val="17"/>
                <w:szCs w:val="17"/>
              </w:rPr>
              <w:t>Comprendre les troubles neurocognitifs majeurs sous l'angle du modèle des besoins compromis et développer un langage clinique commun avec le reste de l'équipe soignante.</w:t>
            </w:r>
          </w:p>
        </w:tc>
      </w:tr>
      <w:tr w:rsidR="007867F4" w14:paraId="353EDE3D" w14:textId="77777777">
        <w:tc>
          <w:tcPr>
            <w:tcW w:w="850" w:type="dxa"/>
            <w:shd w:val="clear" w:color="auto" w:fill="F2F2F2"/>
            <w:tcMar>
              <w:top w:w="65" w:type="dxa"/>
              <w:left w:w="95" w:type="dxa"/>
              <w:bottom w:w="65" w:type="dxa"/>
              <w:right w:w="95" w:type="dxa"/>
            </w:tcMar>
            <w:vAlign w:val="center"/>
          </w:tcPr>
          <w:p w14:paraId="1E1E3EB0" w14:textId="77777777" w:rsidR="007867F4"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09579A8A" w14:textId="77777777" w:rsidR="007867F4" w:rsidRDefault="00000000">
            <w:r>
              <w:rPr>
                <w:color w:val="000000"/>
                <w:sz w:val="17"/>
                <w:szCs w:val="17"/>
              </w:rPr>
              <w:t>Jumelage quotidien avec une infirmière ou un infirmier auxiliaire d'expérience, ou un pilier</w:t>
            </w:r>
          </w:p>
        </w:tc>
        <w:tc>
          <w:tcPr>
            <w:tcW w:w="1350" w:type="dxa"/>
            <w:shd w:val="clear" w:color="auto" w:fill="F2F2F2"/>
            <w:tcMar>
              <w:top w:w="65" w:type="dxa"/>
              <w:left w:w="95" w:type="dxa"/>
              <w:bottom w:w="65" w:type="dxa"/>
              <w:right w:w="95" w:type="dxa"/>
            </w:tcMar>
            <w:vAlign w:val="center"/>
          </w:tcPr>
          <w:p w14:paraId="00D0673E"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56157776" w14:textId="77777777" w:rsidR="007867F4"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1094BDB7" w14:textId="77777777" w:rsidR="007867F4" w:rsidRDefault="00000000">
            <w:r>
              <w:rPr>
                <w:color w:val="000000"/>
                <w:sz w:val="17"/>
                <w:szCs w:val="17"/>
              </w:rPr>
              <w:t>Observer, puis réaliser sous supervision, les soins et la surveillance clinique de base auprès d'un patient vivant avec un trouble neurocognitif majeur.</w:t>
            </w:r>
          </w:p>
        </w:tc>
      </w:tr>
      <w:tr w:rsidR="007867F4" w14:paraId="1089E40A" w14:textId="77777777">
        <w:tc>
          <w:tcPr>
            <w:tcW w:w="850" w:type="dxa"/>
            <w:tcMar>
              <w:top w:w="65" w:type="dxa"/>
              <w:left w:w="95" w:type="dxa"/>
              <w:bottom w:w="65" w:type="dxa"/>
              <w:right w:w="95" w:type="dxa"/>
            </w:tcMar>
            <w:vAlign w:val="center"/>
          </w:tcPr>
          <w:p w14:paraId="47E08BF2" w14:textId="77777777" w:rsidR="007867F4" w:rsidRDefault="00000000">
            <w:r>
              <w:rPr>
                <w:color w:val="000000"/>
                <w:sz w:val="17"/>
                <w:szCs w:val="17"/>
              </w:rPr>
              <w:t>Semaines 2 à 4</w:t>
            </w:r>
          </w:p>
        </w:tc>
        <w:tc>
          <w:tcPr>
            <w:tcW w:w="3250" w:type="dxa"/>
            <w:tcMar>
              <w:top w:w="65" w:type="dxa"/>
              <w:left w:w="95" w:type="dxa"/>
              <w:bottom w:w="65" w:type="dxa"/>
              <w:right w:w="95" w:type="dxa"/>
            </w:tcMar>
            <w:vAlign w:val="center"/>
          </w:tcPr>
          <w:p w14:paraId="0C65AF30" w14:textId="77777777" w:rsidR="007867F4" w:rsidRDefault="00000000">
            <w:r>
              <w:rPr>
                <w:color w:val="000000"/>
                <w:sz w:val="17"/>
                <w:szCs w:val="17"/>
              </w:rPr>
              <w:t>Jumelage hebdomadaire avec une infirmière ou un infirmier auxiliaire d'expérience, ou un pilier</w:t>
            </w:r>
          </w:p>
        </w:tc>
        <w:tc>
          <w:tcPr>
            <w:tcW w:w="1350" w:type="dxa"/>
            <w:tcMar>
              <w:top w:w="65" w:type="dxa"/>
              <w:left w:w="95" w:type="dxa"/>
              <w:bottom w:w="65" w:type="dxa"/>
              <w:right w:w="95" w:type="dxa"/>
            </w:tcMar>
            <w:vAlign w:val="center"/>
          </w:tcPr>
          <w:p w14:paraId="33FE89F9" w14:textId="77777777" w:rsidR="007867F4" w:rsidRDefault="00000000">
            <w:r>
              <w:rPr>
                <w:color w:val="000000"/>
                <w:sz w:val="17"/>
                <w:szCs w:val="17"/>
              </w:rPr>
              <w:t>Coaching clinique</w:t>
            </w:r>
          </w:p>
        </w:tc>
        <w:tc>
          <w:tcPr>
            <w:tcW w:w="1150" w:type="dxa"/>
            <w:tcMar>
              <w:top w:w="65" w:type="dxa"/>
              <w:left w:w="95" w:type="dxa"/>
              <w:bottom w:w="65" w:type="dxa"/>
              <w:right w:w="95" w:type="dxa"/>
            </w:tcMar>
            <w:vAlign w:val="center"/>
          </w:tcPr>
          <w:p w14:paraId="46FFDE83" w14:textId="77777777" w:rsidR="007867F4" w:rsidRDefault="00000000">
            <w:r>
              <w:rPr>
                <w:color w:val="000000"/>
                <w:sz w:val="17"/>
                <w:szCs w:val="17"/>
              </w:rPr>
              <w:t>Une fois par semaine</w:t>
            </w:r>
          </w:p>
        </w:tc>
        <w:tc>
          <w:tcPr>
            <w:tcW w:w="4200" w:type="dxa"/>
            <w:tcMar>
              <w:top w:w="65" w:type="dxa"/>
              <w:left w:w="95" w:type="dxa"/>
              <w:bottom w:w="65" w:type="dxa"/>
              <w:right w:w="95" w:type="dxa"/>
            </w:tcMar>
            <w:vAlign w:val="center"/>
          </w:tcPr>
          <w:p w14:paraId="61082540" w14:textId="77777777" w:rsidR="007867F4" w:rsidRDefault="00000000">
            <w:r>
              <w:rPr>
                <w:color w:val="000000"/>
                <w:sz w:val="17"/>
                <w:szCs w:val="17"/>
              </w:rPr>
              <w:t>Maintenir le lien avec un employé d'expérience tout en développant progressivement son autonomie.</w:t>
            </w:r>
          </w:p>
        </w:tc>
      </w:tr>
      <w:tr w:rsidR="007867F4" w14:paraId="77982449" w14:textId="77777777">
        <w:tc>
          <w:tcPr>
            <w:tcW w:w="850" w:type="dxa"/>
            <w:shd w:val="clear" w:color="auto" w:fill="F2F2F2"/>
            <w:tcMar>
              <w:top w:w="65" w:type="dxa"/>
              <w:left w:w="95" w:type="dxa"/>
              <w:bottom w:w="65" w:type="dxa"/>
              <w:right w:w="95" w:type="dxa"/>
            </w:tcMar>
            <w:vAlign w:val="center"/>
          </w:tcPr>
          <w:p w14:paraId="14FE1AAB" w14:textId="77777777" w:rsidR="007867F4"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7351CD16" w14:textId="77777777" w:rsidR="007867F4"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2435C353"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3D930438" w14:textId="77777777" w:rsidR="007867F4"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4C15B39B" w14:textId="77777777" w:rsidR="007867F4" w:rsidRDefault="00000000">
            <w:r>
              <w:rPr>
                <w:color w:val="000000"/>
                <w:sz w:val="17"/>
                <w:szCs w:val="17"/>
              </w:rPr>
              <w:t>Revenir sur les notions moins bien maîtrisées et convenir d'un plan de consolidation individuel.</w:t>
            </w:r>
          </w:p>
        </w:tc>
      </w:tr>
    </w:tbl>
    <w:p w14:paraId="22B502B3" w14:textId="77777777" w:rsidR="007867F4" w:rsidRDefault="007867F4">
      <w:pPr>
        <w:spacing w:after="180"/>
      </w:pPr>
    </w:p>
    <w:p w14:paraId="15356260" w14:textId="77777777" w:rsidR="007867F4" w:rsidRDefault="00000000">
      <w:pPr>
        <w:pStyle w:val="Titre2"/>
        <w:pBdr>
          <w:bottom w:val="single" w:sz="6" w:space="4" w:color="2E75B6"/>
        </w:pBdr>
        <w:spacing w:before="260" w:after="120"/>
      </w:pPr>
      <w:r>
        <w:rPr>
          <w:b/>
          <w:bCs/>
          <w:color w:val="1F3864"/>
          <w:sz w:val="22"/>
          <w:szCs w:val="22"/>
        </w:rPr>
        <w:t>5.2 Séquence de priorité, à partir du mois 2</w:t>
      </w:r>
    </w:p>
    <w:p w14:paraId="3C0BAC15" w14:textId="77777777" w:rsidR="007867F4" w:rsidRDefault="00000000">
      <w:pPr>
        <w:spacing w:after="140" w:line="280" w:lineRule="auto"/>
      </w:pPr>
      <w:r>
        <w:t>Le tableau qui suit présente, dans l'ordre de priorité établi, les formations à voir après le mois 1.</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7867F4" w14:paraId="776957F8" w14:textId="77777777">
        <w:trPr>
          <w:tblHeader/>
        </w:trPr>
        <w:tc>
          <w:tcPr>
            <w:tcW w:w="700" w:type="dxa"/>
            <w:shd w:val="clear" w:color="auto" w:fill="1F3864"/>
            <w:tcMar>
              <w:top w:w="65" w:type="dxa"/>
              <w:left w:w="95" w:type="dxa"/>
              <w:bottom w:w="65" w:type="dxa"/>
              <w:right w:w="95" w:type="dxa"/>
            </w:tcMar>
            <w:vAlign w:val="center"/>
          </w:tcPr>
          <w:p w14:paraId="26D565BE" w14:textId="77777777" w:rsidR="007867F4"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63ACE1C5"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7A5E21CC" w14:textId="77777777" w:rsidR="007867F4"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08438A25" w14:textId="77777777" w:rsidR="007867F4"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22176ACF" w14:textId="77777777" w:rsidR="007867F4" w:rsidRDefault="00000000">
            <w:r>
              <w:rPr>
                <w:b/>
                <w:bCs/>
                <w:color w:val="FFFFFF"/>
                <w:sz w:val="17"/>
                <w:szCs w:val="17"/>
              </w:rPr>
              <w:t>Objectif d'apprentissage</w:t>
            </w:r>
          </w:p>
        </w:tc>
      </w:tr>
      <w:tr w:rsidR="007867F4" w14:paraId="2FF9A6E7" w14:textId="77777777">
        <w:tc>
          <w:tcPr>
            <w:tcW w:w="700" w:type="dxa"/>
            <w:tcMar>
              <w:top w:w="65" w:type="dxa"/>
              <w:left w:w="95" w:type="dxa"/>
              <w:bottom w:w="65" w:type="dxa"/>
              <w:right w:w="95" w:type="dxa"/>
            </w:tcMar>
            <w:vAlign w:val="center"/>
          </w:tcPr>
          <w:p w14:paraId="1F60BDF5" w14:textId="77777777" w:rsidR="007867F4" w:rsidRDefault="00000000">
            <w:r>
              <w:rPr>
                <w:color w:val="000000"/>
                <w:sz w:val="17"/>
                <w:szCs w:val="17"/>
              </w:rPr>
              <w:t>1</w:t>
            </w:r>
          </w:p>
        </w:tc>
        <w:tc>
          <w:tcPr>
            <w:tcW w:w="3550" w:type="dxa"/>
            <w:tcMar>
              <w:top w:w="65" w:type="dxa"/>
              <w:left w:w="95" w:type="dxa"/>
              <w:bottom w:w="65" w:type="dxa"/>
              <w:right w:w="95" w:type="dxa"/>
            </w:tcMar>
            <w:vAlign w:val="center"/>
          </w:tcPr>
          <w:p w14:paraId="5D641307" w14:textId="77777777" w:rsidR="007867F4" w:rsidRDefault="00000000">
            <w:r>
              <w:rPr>
                <w:color w:val="000000"/>
                <w:sz w:val="17"/>
                <w:szCs w:val="17"/>
              </w:rPr>
              <w:t>2.13 – La contribution des infirmières auxiliaires à l'évaluation et à la surveillance clinique de l'aîné, avec questionnaire</w:t>
            </w:r>
          </w:p>
        </w:tc>
        <w:tc>
          <w:tcPr>
            <w:tcW w:w="1350" w:type="dxa"/>
            <w:tcMar>
              <w:top w:w="65" w:type="dxa"/>
              <w:left w:w="95" w:type="dxa"/>
              <w:bottom w:w="65" w:type="dxa"/>
              <w:right w:w="95" w:type="dxa"/>
            </w:tcMar>
            <w:vAlign w:val="center"/>
          </w:tcPr>
          <w:p w14:paraId="633AE821" w14:textId="77777777" w:rsidR="007867F4" w:rsidRDefault="00000000">
            <w:r>
              <w:rPr>
                <w:color w:val="000000"/>
                <w:sz w:val="17"/>
                <w:szCs w:val="17"/>
              </w:rPr>
              <w:t>Vidéo asynchrone, 13 vidéos</w:t>
            </w:r>
          </w:p>
        </w:tc>
        <w:tc>
          <w:tcPr>
            <w:tcW w:w="1400" w:type="dxa"/>
            <w:tcMar>
              <w:top w:w="65" w:type="dxa"/>
              <w:left w:w="95" w:type="dxa"/>
              <w:bottom w:w="65" w:type="dxa"/>
              <w:right w:w="95" w:type="dxa"/>
            </w:tcMar>
            <w:vAlign w:val="center"/>
          </w:tcPr>
          <w:p w14:paraId="65E82C1A" w14:textId="77777777" w:rsidR="007867F4" w:rsidRDefault="00000000">
            <w:r>
              <w:rPr>
                <w:color w:val="000000"/>
                <w:sz w:val="17"/>
                <w:szCs w:val="17"/>
              </w:rPr>
              <w:t>4 h 04 (4 h 29 avec questionnaire)</w:t>
            </w:r>
          </w:p>
        </w:tc>
        <w:tc>
          <w:tcPr>
            <w:tcW w:w="3800" w:type="dxa"/>
            <w:tcMar>
              <w:top w:w="65" w:type="dxa"/>
              <w:left w:w="95" w:type="dxa"/>
              <w:bottom w:w="65" w:type="dxa"/>
              <w:right w:w="95" w:type="dxa"/>
            </w:tcMar>
            <w:vAlign w:val="center"/>
          </w:tcPr>
          <w:p w14:paraId="16F0D3CA" w14:textId="77777777" w:rsidR="007867F4" w:rsidRDefault="00000000">
            <w:r>
              <w:rPr>
                <w:color w:val="000000"/>
                <w:sz w:val="17"/>
                <w:szCs w:val="17"/>
              </w:rPr>
              <w:t>Exercer pleinement le champ de pratique de l'infirmière auxiliaire en évaluation et en surveillance clinique.</w:t>
            </w:r>
          </w:p>
        </w:tc>
      </w:tr>
      <w:tr w:rsidR="007867F4" w14:paraId="3C00F340" w14:textId="77777777">
        <w:tc>
          <w:tcPr>
            <w:tcW w:w="700" w:type="dxa"/>
            <w:shd w:val="clear" w:color="auto" w:fill="F2F2F2"/>
            <w:tcMar>
              <w:top w:w="65" w:type="dxa"/>
              <w:left w:w="95" w:type="dxa"/>
              <w:bottom w:w="65" w:type="dxa"/>
              <w:right w:w="95" w:type="dxa"/>
            </w:tcMar>
            <w:vAlign w:val="center"/>
          </w:tcPr>
          <w:p w14:paraId="1784C071" w14:textId="77777777" w:rsidR="007867F4"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5AD75E54" w14:textId="77777777" w:rsidR="007867F4" w:rsidRDefault="00000000">
            <w:r>
              <w:rPr>
                <w:color w:val="000000"/>
                <w:sz w:val="17"/>
                <w:szCs w:val="17"/>
              </w:rPr>
              <w:t>3.02 – Évaluation, intervention et surveillance clinique des signes AINÉES, avec questionnaire</w:t>
            </w:r>
          </w:p>
        </w:tc>
        <w:tc>
          <w:tcPr>
            <w:tcW w:w="1350" w:type="dxa"/>
            <w:shd w:val="clear" w:color="auto" w:fill="F2F2F2"/>
            <w:tcMar>
              <w:top w:w="65" w:type="dxa"/>
              <w:left w:w="95" w:type="dxa"/>
              <w:bottom w:w="65" w:type="dxa"/>
              <w:right w:w="95" w:type="dxa"/>
            </w:tcMar>
            <w:vAlign w:val="center"/>
          </w:tcPr>
          <w:p w14:paraId="134AADF6" w14:textId="77777777" w:rsidR="007867F4" w:rsidRDefault="00000000">
            <w:r>
              <w:rPr>
                <w:color w:val="000000"/>
                <w:sz w:val="17"/>
                <w:szCs w:val="17"/>
              </w:rPr>
              <w:t>Vidéo asynchrone, 6 vidéos</w:t>
            </w:r>
          </w:p>
        </w:tc>
        <w:tc>
          <w:tcPr>
            <w:tcW w:w="1400" w:type="dxa"/>
            <w:shd w:val="clear" w:color="auto" w:fill="F2F2F2"/>
            <w:tcMar>
              <w:top w:w="65" w:type="dxa"/>
              <w:left w:w="95" w:type="dxa"/>
              <w:bottom w:w="65" w:type="dxa"/>
              <w:right w:w="95" w:type="dxa"/>
            </w:tcMar>
            <w:vAlign w:val="center"/>
          </w:tcPr>
          <w:p w14:paraId="330069FE" w14:textId="77777777" w:rsidR="007867F4" w:rsidRDefault="00000000">
            <w:r>
              <w:rPr>
                <w:color w:val="000000"/>
                <w:sz w:val="17"/>
                <w:szCs w:val="17"/>
              </w:rPr>
              <w:t>3 h 04 (3 h 29 avec questionnaire)</w:t>
            </w:r>
          </w:p>
        </w:tc>
        <w:tc>
          <w:tcPr>
            <w:tcW w:w="3800" w:type="dxa"/>
            <w:shd w:val="clear" w:color="auto" w:fill="F2F2F2"/>
            <w:tcMar>
              <w:top w:w="65" w:type="dxa"/>
              <w:left w:w="95" w:type="dxa"/>
              <w:bottom w:w="65" w:type="dxa"/>
              <w:right w:w="95" w:type="dxa"/>
            </w:tcMar>
            <w:vAlign w:val="center"/>
          </w:tcPr>
          <w:p w14:paraId="31EF14E2" w14:textId="77777777" w:rsidR="007867F4" w:rsidRDefault="00000000">
            <w:r>
              <w:rPr>
                <w:color w:val="000000"/>
                <w:sz w:val="17"/>
                <w:szCs w:val="17"/>
              </w:rPr>
              <w:t>Appliquer la grille AINÉES pour dépister et prévenir systématiquement les syndromes gériatriques durant l'hospitalisation.</w:t>
            </w:r>
          </w:p>
        </w:tc>
      </w:tr>
      <w:tr w:rsidR="007867F4" w14:paraId="7F6D60DC" w14:textId="77777777">
        <w:tc>
          <w:tcPr>
            <w:tcW w:w="700" w:type="dxa"/>
            <w:tcMar>
              <w:top w:w="65" w:type="dxa"/>
              <w:left w:w="95" w:type="dxa"/>
              <w:bottom w:w="65" w:type="dxa"/>
              <w:right w:w="95" w:type="dxa"/>
            </w:tcMar>
            <w:vAlign w:val="center"/>
          </w:tcPr>
          <w:p w14:paraId="0B80AD3A" w14:textId="77777777" w:rsidR="007867F4" w:rsidRDefault="00000000">
            <w:r>
              <w:rPr>
                <w:color w:val="000000"/>
                <w:sz w:val="17"/>
                <w:szCs w:val="17"/>
              </w:rPr>
              <w:t>3</w:t>
            </w:r>
          </w:p>
        </w:tc>
        <w:tc>
          <w:tcPr>
            <w:tcW w:w="3550" w:type="dxa"/>
            <w:tcMar>
              <w:top w:w="65" w:type="dxa"/>
              <w:left w:w="95" w:type="dxa"/>
              <w:bottom w:w="65" w:type="dxa"/>
              <w:right w:w="95" w:type="dxa"/>
            </w:tcMar>
            <w:vAlign w:val="center"/>
          </w:tcPr>
          <w:p w14:paraId="62824EC7" w14:textId="77777777" w:rsidR="007867F4" w:rsidRDefault="00000000">
            <w:r>
              <w:rPr>
                <w:color w:val="000000"/>
                <w:sz w:val="17"/>
                <w:szCs w:val="17"/>
              </w:rPr>
              <w:t>3.05 – Communiquer avec le médecin et le proche lors d'un événement, méthode SBAR</w:t>
            </w:r>
          </w:p>
        </w:tc>
        <w:tc>
          <w:tcPr>
            <w:tcW w:w="1350" w:type="dxa"/>
            <w:tcMar>
              <w:top w:w="65" w:type="dxa"/>
              <w:left w:w="95" w:type="dxa"/>
              <w:bottom w:w="65" w:type="dxa"/>
              <w:right w:w="95" w:type="dxa"/>
            </w:tcMar>
            <w:vAlign w:val="center"/>
          </w:tcPr>
          <w:p w14:paraId="3C1517C9"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103E5EA7" w14:textId="77777777" w:rsidR="007867F4" w:rsidRDefault="00000000">
            <w:r>
              <w:rPr>
                <w:color w:val="000000"/>
                <w:sz w:val="17"/>
                <w:szCs w:val="17"/>
              </w:rPr>
              <w:t>16 min (20 min avec questionnaire)</w:t>
            </w:r>
          </w:p>
        </w:tc>
        <w:tc>
          <w:tcPr>
            <w:tcW w:w="3800" w:type="dxa"/>
            <w:tcMar>
              <w:top w:w="65" w:type="dxa"/>
              <w:left w:w="95" w:type="dxa"/>
              <w:bottom w:w="65" w:type="dxa"/>
              <w:right w:w="95" w:type="dxa"/>
            </w:tcMar>
            <w:vAlign w:val="center"/>
          </w:tcPr>
          <w:p w14:paraId="43C1DDF9" w14:textId="77777777" w:rsidR="007867F4" w:rsidRDefault="00000000">
            <w:r>
              <w:rPr>
                <w:color w:val="000000"/>
                <w:sz w:val="17"/>
                <w:szCs w:val="17"/>
              </w:rPr>
              <w:t>Structurer une communication claire et complète lors d'un événement clinique.</w:t>
            </w:r>
          </w:p>
        </w:tc>
      </w:tr>
      <w:tr w:rsidR="007867F4" w14:paraId="3BBC64AD" w14:textId="77777777">
        <w:tc>
          <w:tcPr>
            <w:tcW w:w="700" w:type="dxa"/>
            <w:shd w:val="clear" w:color="auto" w:fill="F2F2F2"/>
            <w:tcMar>
              <w:top w:w="65" w:type="dxa"/>
              <w:left w:w="95" w:type="dxa"/>
              <w:bottom w:w="65" w:type="dxa"/>
              <w:right w:w="95" w:type="dxa"/>
            </w:tcMar>
            <w:vAlign w:val="center"/>
          </w:tcPr>
          <w:p w14:paraId="2229DC19" w14:textId="77777777" w:rsidR="007867F4"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3AED6E71" w14:textId="77777777" w:rsidR="007867F4" w:rsidRDefault="00000000">
            <w:r>
              <w:rPr>
                <w:color w:val="000000"/>
                <w:sz w:val="17"/>
                <w:szCs w:val="17"/>
              </w:rPr>
              <w:t>2.02 – L'évaluation dans les contextes des SCPD, avec questionnaire</w:t>
            </w:r>
          </w:p>
        </w:tc>
        <w:tc>
          <w:tcPr>
            <w:tcW w:w="1350" w:type="dxa"/>
            <w:shd w:val="clear" w:color="auto" w:fill="F2F2F2"/>
            <w:tcMar>
              <w:top w:w="65" w:type="dxa"/>
              <w:left w:w="95" w:type="dxa"/>
              <w:bottom w:w="65" w:type="dxa"/>
              <w:right w:w="95" w:type="dxa"/>
            </w:tcMar>
            <w:vAlign w:val="center"/>
          </w:tcPr>
          <w:p w14:paraId="41B2CA34" w14:textId="77777777" w:rsidR="007867F4" w:rsidRDefault="00000000">
            <w:r>
              <w:rPr>
                <w:color w:val="000000"/>
                <w:sz w:val="17"/>
                <w:szCs w:val="17"/>
              </w:rPr>
              <w:t>Vidéo asynchrone, 2 vidéos</w:t>
            </w:r>
          </w:p>
        </w:tc>
        <w:tc>
          <w:tcPr>
            <w:tcW w:w="1400" w:type="dxa"/>
            <w:shd w:val="clear" w:color="auto" w:fill="F2F2F2"/>
            <w:tcMar>
              <w:top w:w="65" w:type="dxa"/>
              <w:left w:w="95" w:type="dxa"/>
              <w:bottom w:w="65" w:type="dxa"/>
              <w:right w:w="95" w:type="dxa"/>
            </w:tcMar>
            <w:vAlign w:val="center"/>
          </w:tcPr>
          <w:p w14:paraId="03040EFA" w14:textId="77777777" w:rsidR="007867F4" w:rsidRDefault="00000000">
            <w:r>
              <w:rPr>
                <w:color w:val="000000"/>
                <w:sz w:val="17"/>
                <w:szCs w:val="17"/>
              </w:rPr>
              <w:t>31 min (56 min avec questionnaire)</w:t>
            </w:r>
          </w:p>
        </w:tc>
        <w:tc>
          <w:tcPr>
            <w:tcW w:w="3800" w:type="dxa"/>
            <w:shd w:val="clear" w:color="auto" w:fill="F2F2F2"/>
            <w:tcMar>
              <w:top w:w="65" w:type="dxa"/>
              <w:left w:w="95" w:type="dxa"/>
              <w:bottom w:w="65" w:type="dxa"/>
              <w:right w:w="95" w:type="dxa"/>
            </w:tcMar>
            <w:vAlign w:val="center"/>
          </w:tcPr>
          <w:p w14:paraId="4DBF3761" w14:textId="77777777" w:rsidR="007867F4" w:rsidRDefault="00000000">
            <w:r>
              <w:rPr>
                <w:color w:val="000000"/>
                <w:sz w:val="17"/>
                <w:szCs w:val="17"/>
              </w:rPr>
              <w:t>Structurer une démarche clinique d'évaluation devant un SCPD à l'aide d'outils validés.</w:t>
            </w:r>
          </w:p>
        </w:tc>
      </w:tr>
      <w:tr w:rsidR="007867F4" w14:paraId="7FD0C211" w14:textId="77777777">
        <w:tc>
          <w:tcPr>
            <w:tcW w:w="700" w:type="dxa"/>
            <w:tcMar>
              <w:top w:w="65" w:type="dxa"/>
              <w:left w:w="95" w:type="dxa"/>
              <w:bottom w:w="65" w:type="dxa"/>
              <w:right w:w="95" w:type="dxa"/>
            </w:tcMar>
            <w:vAlign w:val="center"/>
          </w:tcPr>
          <w:p w14:paraId="456F028F" w14:textId="77777777" w:rsidR="007867F4" w:rsidRDefault="00000000">
            <w:r>
              <w:rPr>
                <w:color w:val="000000"/>
                <w:sz w:val="17"/>
                <w:szCs w:val="17"/>
              </w:rPr>
              <w:t>5</w:t>
            </w:r>
          </w:p>
        </w:tc>
        <w:tc>
          <w:tcPr>
            <w:tcW w:w="3550" w:type="dxa"/>
            <w:tcMar>
              <w:top w:w="65" w:type="dxa"/>
              <w:left w:w="95" w:type="dxa"/>
              <w:bottom w:w="65" w:type="dxa"/>
              <w:right w:w="95" w:type="dxa"/>
            </w:tcMar>
            <w:vAlign w:val="center"/>
          </w:tcPr>
          <w:p w14:paraId="4EC20D40" w14:textId="77777777" w:rsidR="007867F4" w:rsidRDefault="00000000">
            <w:r>
              <w:rPr>
                <w:color w:val="000000"/>
                <w:sz w:val="17"/>
                <w:szCs w:val="17"/>
              </w:rPr>
              <w:t>2.05 – Détection et surveillance clinique de la douleur chez les patients atteints de TNCM</w:t>
            </w:r>
          </w:p>
        </w:tc>
        <w:tc>
          <w:tcPr>
            <w:tcW w:w="1350" w:type="dxa"/>
            <w:tcMar>
              <w:top w:w="65" w:type="dxa"/>
              <w:left w:w="95" w:type="dxa"/>
              <w:bottom w:w="65" w:type="dxa"/>
              <w:right w:w="95" w:type="dxa"/>
            </w:tcMar>
            <w:vAlign w:val="center"/>
          </w:tcPr>
          <w:p w14:paraId="05834046"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17455FC0" w14:textId="77777777" w:rsidR="007867F4" w:rsidRDefault="00000000">
            <w:r>
              <w:rPr>
                <w:color w:val="000000"/>
                <w:sz w:val="17"/>
                <w:szCs w:val="17"/>
              </w:rPr>
              <w:t>19 min</w:t>
            </w:r>
          </w:p>
        </w:tc>
        <w:tc>
          <w:tcPr>
            <w:tcW w:w="3800" w:type="dxa"/>
            <w:tcMar>
              <w:top w:w="65" w:type="dxa"/>
              <w:left w:w="95" w:type="dxa"/>
              <w:bottom w:w="65" w:type="dxa"/>
              <w:right w:w="95" w:type="dxa"/>
            </w:tcMar>
            <w:vAlign w:val="center"/>
          </w:tcPr>
          <w:p w14:paraId="5B770391" w14:textId="77777777" w:rsidR="007867F4" w:rsidRDefault="00000000">
            <w:r>
              <w:rPr>
                <w:color w:val="000000"/>
                <w:sz w:val="17"/>
                <w:szCs w:val="17"/>
              </w:rPr>
              <w:t>Repérer les signes non verbaux de douleur chez un patient qui ne peut l'exprimer clairement.</w:t>
            </w:r>
          </w:p>
        </w:tc>
      </w:tr>
      <w:tr w:rsidR="007867F4" w14:paraId="18B6A1C8" w14:textId="77777777">
        <w:tc>
          <w:tcPr>
            <w:tcW w:w="700" w:type="dxa"/>
            <w:shd w:val="clear" w:color="auto" w:fill="F2F2F2"/>
            <w:tcMar>
              <w:top w:w="65" w:type="dxa"/>
              <w:left w:w="95" w:type="dxa"/>
              <w:bottom w:w="65" w:type="dxa"/>
              <w:right w:w="95" w:type="dxa"/>
            </w:tcMar>
            <w:vAlign w:val="center"/>
          </w:tcPr>
          <w:p w14:paraId="06B1F1B4" w14:textId="77777777" w:rsidR="007867F4"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73922CAD" w14:textId="77777777" w:rsidR="007867F4" w:rsidRDefault="00000000">
            <w:r>
              <w:rPr>
                <w:color w:val="000000"/>
                <w:sz w:val="17"/>
                <w:szCs w:val="17"/>
              </w:rPr>
              <w:t>2.10 – Détecter la dépression chez les aînés atteints de problèmes cognitifs, échelle Cornell</w:t>
            </w:r>
          </w:p>
        </w:tc>
        <w:tc>
          <w:tcPr>
            <w:tcW w:w="1350" w:type="dxa"/>
            <w:shd w:val="clear" w:color="auto" w:fill="F2F2F2"/>
            <w:tcMar>
              <w:top w:w="65" w:type="dxa"/>
              <w:left w:w="95" w:type="dxa"/>
              <w:bottom w:w="65" w:type="dxa"/>
              <w:right w:w="95" w:type="dxa"/>
            </w:tcMar>
            <w:vAlign w:val="center"/>
          </w:tcPr>
          <w:p w14:paraId="49C8E215"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3A961593" w14:textId="77777777" w:rsidR="007867F4"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2AC668FE" w14:textId="77777777" w:rsidR="007867F4" w:rsidRDefault="00000000">
            <w:r>
              <w:rPr>
                <w:color w:val="000000"/>
                <w:sz w:val="17"/>
                <w:szCs w:val="17"/>
              </w:rPr>
              <w:t>Repérer les signes de dépression malgré la présence de troubles cognitifs.</w:t>
            </w:r>
          </w:p>
        </w:tc>
      </w:tr>
      <w:tr w:rsidR="007867F4" w14:paraId="5BC75B68" w14:textId="77777777">
        <w:tc>
          <w:tcPr>
            <w:tcW w:w="700" w:type="dxa"/>
            <w:tcMar>
              <w:top w:w="65" w:type="dxa"/>
              <w:left w:w="95" w:type="dxa"/>
              <w:bottom w:w="65" w:type="dxa"/>
              <w:right w:w="95" w:type="dxa"/>
            </w:tcMar>
            <w:vAlign w:val="center"/>
          </w:tcPr>
          <w:p w14:paraId="31693067" w14:textId="77777777" w:rsidR="007867F4" w:rsidRDefault="00000000">
            <w:r>
              <w:rPr>
                <w:color w:val="000000"/>
                <w:sz w:val="17"/>
                <w:szCs w:val="17"/>
              </w:rPr>
              <w:t>7</w:t>
            </w:r>
          </w:p>
        </w:tc>
        <w:tc>
          <w:tcPr>
            <w:tcW w:w="3550" w:type="dxa"/>
            <w:tcMar>
              <w:top w:w="65" w:type="dxa"/>
              <w:left w:w="95" w:type="dxa"/>
              <w:bottom w:w="65" w:type="dxa"/>
              <w:right w:w="95" w:type="dxa"/>
            </w:tcMar>
            <w:vAlign w:val="center"/>
          </w:tcPr>
          <w:p w14:paraId="2B72A27B" w14:textId="77777777" w:rsidR="007867F4" w:rsidRDefault="00000000">
            <w:r>
              <w:rPr>
                <w:color w:val="000000"/>
                <w:sz w:val="17"/>
                <w:szCs w:val="17"/>
              </w:rPr>
              <w:t>2.11 – Détecter la dépression chez les aînés, échelles de dépression gériatrique et PHQ-9</w:t>
            </w:r>
          </w:p>
        </w:tc>
        <w:tc>
          <w:tcPr>
            <w:tcW w:w="1350" w:type="dxa"/>
            <w:tcMar>
              <w:top w:w="65" w:type="dxa"/>
              <w:left w:w="95" w:type="dxa"/>
              <w:bottom w:w="65" w:type="dxa"/>
              <w:right w:w="95" w:type="dxa"/>
            </w:tcMar>
            <w:vAlign w:val="center"/>
          </w:tcPr>
          <w:p w14:paraId="67D011F6"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344DFCEF" w14:textId="77777777" w:rsidR="007867F4" w:rsidRDefault="00000000">
            <w:r>
              <w:rPr>
                <w:color w:val="000000"/>
                <w:sz w:val="17"/>
                <w:szCs w:val="17"/>
              </w:rPr>
              <w:t>33 min</w:t>
            </w:r>
          </w:p>
        </w:tc>
        <w:tc>
          <w:tcPr>
            <w:tcW w:w="3800" w:type="dxa"/>
            <w:tcMar>
              <w:top w:w="65" w:type="dxa"/>
              <w:left w:w="95" w:type="dxa"/>
              <w:bottom w:w="65" w:type="dxa"/>
              <w:right w:w="95" w:type="dxa"/>
            </w:tcMar>
            <w:vAlign w:val="center"/>
          </w:tcPr>
          <w:p w14:paraId="2EED2C40" w14:textId="77777777" w:rsidR="007867F4" w:rsidRDefault="00000000">
            <w:r>
              <w:rPr>
                <w:color w:val="000000"/>
                <w:sz w:val="17"/>
                <w:szCs w:val="17"/>
              </w:rPr>
              <w:t>Dépister la dépression chez une clientèle âgée hospitalisée, avec ou sans trouble cognitif significatif.</w:t>
            </w:r>
          </w:p>
        </w:tc>
      </w:tr>
    </w:tbl>
    <w:p w14:paraId="0A0A7B8D" w14:textId="77777777" w:rsidR="007867F4" w:rsidRDefault="007867F4">
      <w:pPr>
        <w:spacing w:after="140"/>
      </w:pPr>
    </w:p>
    <w:p w14:paraId="4F3290BC" w14:textId="77777777" w:rsidR="007867F4" w:rsidRDefault="00000000">
      <w:pPr>
        <w:spacing w:after="140" w:line="270" w:lineRule="auto"/>
      </w:pPr>
      <w:r>
        <w:rPr>
          <w:i/>
          <w:iCs/>
          <w:color w:val="555555"/>
          <w:sz w:val="19"/>
          <w:szCs w:val="19"/>
        </w:rPr>
        <w:t>Une fois cette séquence complétée, les formations suivantes seront choisies selon les priorités du milieu, en co-construction avec le personnel concerné.</w:t>
      </w:r>
    </w:p>
    <w:p w14:paraId="61E76532"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07752962" w14:textId="77777777">
        <w:tc>
          <w:tcPr>
            <w:tcW w:w="10800" w:type="dxa"/>
            <w:shd w:val="clear" w:color="auto" w:fill="1F3864"/>
            <w:tcMar>
              <w:top w:w="150" w:type="dxa"/>
              <w:left w:w="180" w:type="dxa"/>
              <w:bottom w:w="150" w:type="dxa"/>
              <w:right w:w="180" w:type="dxa"/>
            </w:tcMar>
          </w:tcPr>
          <w:p w14:paraId="05221465" w14:textId="49322799" w:rsidR="007867F4" w:rsidRDefault="00000000">
            <w:pPr>
              <w:pStyle w:val="Titre1"/>
            </w:pPr>
            <w:r>
              <w:rPr>
                <w:b/>
                <w:bCs/>
                <w:color w:val="FFFFFF"/>
                <w:sz w:val="25"/>
                <w:szCs w:val="25"/>
              </w:rPr>
              <w:lastRenderedPageBreak/>
              <w:t xml:space="preserve">6. Plan de formation, </w:t>
            </w:r>
            <w:r w:rsidR="00CD571B">
              <w:rPr>
                <w:b/>
                <w:bCs/>
                <w:color w:val="FFFFFF"/>
                <w:sz w:val="25"/>
                <w:szCs w:val="25"/>
              </w:rPr>
              <w:t xml:space="preserve">infirmières et </w:t>
            </w:r>
            <w:r>
              <w:rPr>
                <w:b/>
                <w:bCs/>
                <w:color w:val="FFFFFF"/>
                <w:sz w:val="25"/>
                <w:szCs w:val="25"/>
              </w:rPr>
              <w:t>infirmier</w:t>
            </w:r>
            <w:r w:rsidR="00CD571B">
              <w:rPr>
                <w:b/>
                <w:bCs/>
                <w:color w:val="FFFFFF"/>
                <w:sz w:val="25"/>
                <w:szCs w:val="25"/>
              </w:rPr>
              <w:t>s</w:t>
            </w:r>
          </w:p>
        </w:tc>
      </w:tr>
    </w:tbl>
    <w:p w14:paraId="34C13B0A" w14:textId="77777777" w:rsidR="007867F4" w:rsidRDefault="007867F4">
      <w:pPr>
        <w:spacing w:after="140"/>
      </w:pPr>
    </w:p>
    <w:p w14:paraId="7402CF70" w14:textId="77777777" w:rsidR="007867F4" w:rsidRDefault="00000000">
      <w:pPr>
        <w:pStyle w:val="Titre2"/>
        <w:pBdr>
          <w:bottom w:val="single" w:sz="6" w:space="4" w:color="2E75B6"/>
        </w:pBdr>
        <w:spacing w:before="260" w:after="120"/>
      </w:pPr>
      <w:r>
        <w:rPr>
          <w:b/>
          <w:bCs/>
          <w:color w:val="1F3864"/>
          <w:sz w:val="22"/>
          <w:szCs w:val="22"/>
        </w:rPr>
        <w:t>6.1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20"/>
        <w:gridCol w:w="1345"/>
        <w:gridCol w:w="1229"/>
        <w:gridCol w:w="4157"/>
      </w:tblGrid>
      <w:tr w:rsidR="007867F4" w14:paraId="6F8F65B9" w14:textId="77777777">
        <w:trPr>
          <w:tblHeader/>
        </w:trPr>
        <w:tc>
          <w:tcPr>
            <w:tcW w:w="850" w:type="dxa"/>
            <w:shd w:val="clear" w:color="auto" w:fill="1F3864"/>
            <w:tcMar>
              <w:top w:w="65" w:type="dxa"/>
              <w:left w:w="95" w:type="dxa"/>
              <w:bottom w:w="65" w:type="dxa"/>
              <w:right w:w="95" w:type="dxa"/>
            </w:tcMar>
            <w:vAlign w:val="center"/>
          </w:tcPr>
          <w:p w14:paraId="2ADCEF9A" w14:textId="77777777" w:rsidR="007867F4"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78E0C0C8"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6150B0B1" w14:textId="77777777" w:rsidR="007867F4"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6F974FD6" w14:textId="77777777" w:rsidR="007867F4"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1ADEC745" w14:textId="77777777" w:rsidR="007867F4" w:rsidRDefault="00000000">
            <w:r>
              <w:rPr>
                <w:b/>
                <w:bCs/>
                <w:color w:val="FFFFFF"/>
                <w:sz w:val="17"/>
                <w:szCs w:val="17"/>
              </w:rPr>
              <w:t>Objectif d'apprentissage</w:t>
            </w:r>
          </w:p>
        </w:tc>
      </w:tr>
      <w:tr w:rsidR="007867F4" w14:paraId="259A7320" w14:textId="77777777">
        <w:tc>
          <w:tcPr>
            <w:tcW w:w="850" w:type="dxa"/>
            <w:tcMar>
              <w:top w:w="65" w:type="dxa"/>
              <w:left w:w="95" w:type="dxa"/>
              <w:bottom w:w="65" w:type="dxa"/>
              <w:right w:w="95" w:type="dxa"/>
            </w:tcMar>
            <w:vAlign w:val="center"/>
          </w:tcPr>
          <w:p w14:paraId="6B3E6B3B" w14:textId="77777777" w:rsidR="007867F4" w:rsidRDefault="00000000">
            <w:r>
              <w:rPr>
                <w:color w:val="000000"/>
                <w:sz w:val="17"/>
                <w:szCs w:val="17"/>
              </w:rPr>
              <w:t>Semaine 1 à 4</w:t>
            </w:r>
          </w:p>
        </w:tc>
        <w:tc>
          <w:tcPr>
            <w:tcW w:w="3250" w:type="dxa"/>
            <w:tcMar>
              <w:top w:w="65" w:type="dxa"/>
              <w:left w:w="95" w:type="dxa"/>
              <w:bottom w:w="65" w:type="dxa"/>
              <w:right w:w="95" w:type="dxa"/>
            </w:tcMar>
            <w:vAlign w:val="center"/>
          </w:tcPr>
          <w:p w14:paraId="54A4AE8B" w14:textId="77777777" w:rsidR="007867F4" w:rsidRDefault="00000000">
            <w:r>
              <w:rPr>
                <w:color w:val="000000"/>
                <w:sz w:val="17"/>
                <w:szCs w:val="17"/>
              </w:rPr>
              <w:t>1.01 (pivot) – Prendre soin d'une personne atteinte de la maladie d'Alzheimer, comment composer avec ses problèmes de mémoire et ses comportements inattendus</w:t>
            </w:r>
          </w:p>
        </w:tc>
        <w:tc>
          <w:tcPr>
            <w:tcW w:w="1350" w:type="dxa"/>
            <w:tcMar>
              <w:top w:w="65" w:type="dxa"/>
              <w:left w:w="95" w:type="dxa"/>
              <w:bottom w:w="65" w:type="dxa"/>
              <w:right w:w="95" w:type="dxa"/>
            </w:tcMar>
            <w:vAlign w:val="center"/>
          </w:tcPr>
          <w:p w14:paraId="4CC8EAEE" w14:textId="77777777" w:rsidR="007867F4"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52E97D88" w14:textId="77777777" w:rsidR="007867F4" w:rsidRDefault="00000000">
            <w:r>
              <w:rPr>
                <w:color w:val="000000"/>
                <w:sz w:val="17"/>
                <w:szCs w:val="17"/>
              </w:rPr>
              <w:t>5 h 06 (6 h 21 avec les 3 questionnaires)</w:t>
            </w:r>
          </w:p>
        </w:tc>
        <w:tc>
          <w:tcPr>
            <w:tcW w:w="4200" w:type="dxa"/>
            <w:tcMar>
              <w:top w:w="65" w:type="dxa"/>
              <w:left w:w="95" w:type="dxa"/>
              <w:bottom w:w="65" w:type="dxa"/>
              <w:right w:w="95" w:type="dxa"/>
            </w:tcMar>
            <w:vAlign w:val="center"/>
          </w:tcPr>
          <w:p w14:paraId="6281B8C6" w14:textId="77777777" w:rsidR="007867F4" w:rsidRDefault="00000000">
            <w:r>
              <w:rPr>
                <w:color w:val="000000"/>
                <w:sz w:val="17"/>
                <w:szCs w:val="17"/>
              </w:rPr>
              <w:t>Comprendre les troubles neurocognitifs majeurs sous l'angle du modèle des besoins compromis et développer un langage clinique commun avec le reste de l'équipe soignante.</w:t>
            </w:r>
          </w:p>
        </w:tc>
      </w:tr>
      <w:tr w:rsidR="007867F4" w14:paraId="7D892C80" w14:textId="77777777">
        <w:tc>
          <w:tcPr>
            <w:tcW w:w="850" w:type="dxa"/>
            <w:shd w:val="clear" w:color="auto" w:fill="F2F2F2"/>
            <w:tcMar>
              <w:top w:w="65" w:type="dxa"/>
              <w:left w:w="95" w:type="dxa"/>
              <w:bottom w:w="65" w:type="dxa"/>
              <w:right w:w="95" w:type="dxa"/>
            </w:tcMar>
            <w:vAlign w:val="center"/>
          </w:tcPr>
          <w:p w14:paraId="313F5B62" w14:textId="77777777" w:rsidR="007867F4"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66A18063" w14:textId="77777777" w:rsidR="007867F4" w:rsidRDefault="00000000">
            <w:r>
              <w:rPr>
                <w:color w:val="000000"/>
                <w:sz w:val="17"/>
                <w:szCs w:val="17"/>
              </w:rPr>
              <w:t>Jumelage quotidien avec une personne du personnel infirmier d'expérience ou un pilier</w:t>
            </w:r>
          </w:p>
        </w:tc>
        <w:tc>
          <w:tcPr>
            <w:tcW w:w="1350" w:type="dxa"/>
            <w:shd w:val="clear" w:color="auto" w:fill="F2F2F2"/>
            <w:tcMar>
              <w:top w:w="65" w:type="dxa"/>
              <w:left w:w="95" w:type="dxa"/>
              <w:bottom w:w="65" w:type="dxa"/>
              <w:right w:w="95" w:type="dxa"/>
            </w:tcMar>
            <w:vAlign w:val="center"/>
          </w:tcPr>
          <w:p w14:paraId="5CC7423C"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6344E3B1" w14:textId="77777777" w:rsidR="007867F4"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64DFECB8" w14:textId="77777777" w:rsidR="007867F4" w:rsidRDefault="00000000">
            <w:r>
              <w:rPr>
                <w:color w:val="000000"/>
                <w:sz w:val="17"/>
                <w:szCs w:val="17"/>
              </w:rPr>
              <w:t xml:space="preserve">Observer, puis réaliser sous supervision, une évaluation clinique et </w:t>
            </w:r>
            <w:proofErr w:type="gramStart"/>
            <w:r>
              <w:rPr>
                <w:color w:val="000000"/>
                <w:sz w:val="17"/>
                <w:szCs w:val="17"/>
              </w:rPr>
              <w:t>une surveillance adaptées</w:t>
            </w:r>
            <w:proofErr w:type="gramEnd"/>
            <w:r>
              <w:rPr>
                <w:color w:val="000000"/>
                <w:sz w:val="17"/>
                <w:szCs w:val="17"/>
              </w:rPr>
              <w:t xml:space="preserve"> à un patient vivant avec un trouble neurocognitif majeur.</w:t>
            </w:r>
          </w:p>
        </w:tc>
      </w:tr>
      <w:tr w:rsidR="007867F4" w14:paraId="01F45096" w14:textId="77777777">
        <w:tc>
          <w:tcPr>
            <w:tcW w:w="850" w:type="dxa"/>
            <w:tcMar>
              <w:top w:w="65" w:type="dxa"/>
              <w:left w:w="95" w:type="dxa"/>
              <w:bottom w:w="65" w:type="dxa"/>
              <w:right w:w="95" w:type="dxa"/>
            </w:tcMar>
            <w:vAlign w:val="center"/>
          </w:tcPr>
          <w:p w14:paraId="127D2CA7" w14:textId="77777777" w:rsidR="007867F4" w:rsidRDefault="00000000">
            <w:r>
              <w:rPr>
                <w:color w:val="000000"/>
                <w:sz w:val="17"/>
                <w:szCs w:val="17"/>
              </w:rPr>
              <w:t>Semaines 2 à 4</w:t>
            </w:r>
          </w:p>
        </w:tc>
        <w:tc>
          <w:tcPr>
            <w:tcW w:w="3250" w:type="dxa"/>
            <w:tcMar>
              <w:top w:w="65" w:type="dxa"/>
              <w:left w:w="95" w:type="dxa"/>
              <w:bottom w:w="65" w:type="dxa"/>
              <w:right w:w="95" w:type="dxa"/>
            </w:tcMar>
            <w:vAlign w:val="center"/>
          </w:tcPr>
          <w:p w14:paraId="6726C9C6" w14:textId="77777777" w:rsidR="007867F4" w:rsidRDefault="00000000">
            <w:r>
              <w:rPr>
                <w:color w:val="000000"/>
                <w:sz w:val="17"/>
                <w:szCs w:val="17"/>
              </w:rPr>
              <w:t>Jumelage hebdomadaire avec une personne du personnel infirmier d'expérience ou un pilier</w:t>
            </w:r>
          </w:p>
        </w:tc>
        <w:tc>
          <w:tcPr>
            <w:tcW w:w="1350" w:type="dxa"/>
            <w:tcMar>
              <w:top w:w="65" w:type="dxa"/>
              <w:left w:w="95" w:type="dxa"/>
              <w:bottom w:w="65" w:type="dxa"/>
              <w:right w:w="95" w:type="dxa"/>
            </w:tcMar>
            <w:vAlign w:val="center"/>
          </w:tcPr>
          <w:p w14:paraId="5617993B" w14:textId="77777777" w:rsidR="007867F4" w:rsidRDefault="00000000">
            <w:r>
              <w:rPr>
                <w:color w:val="000000"/>
                <w:sz w:val="17"/>
                <w:szCs w:val="17"/>
              </w:rPr>
              <w:t>Coaching clinique</w:t>
            </w:r>
          </w:p>
        </w:tc>
        <w:tc>
          <w:tcPr>
            <w:tcW w:w="1150" w:type="dxa"/>
            <w:tcMar>
              <w:top w:w="65" w:type="dxa"/>
              <w:left w:w="95" w:type="dxa"/>
              <w:bottom w:w="65" w:type="dxa"/>
              <w:right w:w="95" w:type="dxa"/>
            </w:tcMar>
            <w:vAlign w:val="center"/>
          </w:tcPr>
          <w:p w14:paraId="625E4047" w14:textId="77777777" w:rsidR="007867F4" w:rsidRDefault="00000000">
            <w:r>
              <w:rPr>
                <w:color w:val="000000"/>
                <w:sz w:val="17"/>
                <w:szCs w:val="17"/>
              </w:rPr>
              <w:t>Une fois par semaine</w:t>
            </w:r>
          </w:p>
        </w:tc>
        <w:tc>
          <w:tcPr>
            <w:tcW w:w="4200" w:type="dxa"/>
            <w:tcMar>
              <w:top w:w="65" w:type="dxa"/>
              <w:left w:w="95" w:type="dxa"/>
              <w:bottom w:w="65" w:type="dxa"/>
              <w:right w:w="95" w:type="dxa"/>
            </w:tcMar>
            <w:vAlign w:val="center"/>
          </w:tcPr>
          <w:p w14:paraId="54D4C772" w14:textId="77777777" w:rsidR="007867F4" w:rsidRDefault="00000000">
            <w:r>
              <w:rPr>
                <w:color w:val="000000"/>
                <w:sz w:val="17"/>
                <w:szCs w:val="17"/>
              </w:rPr>
              <w:t>Maintenir le lien avec un employé d'expérience tout en développant progressivement son autonomie.</w:t>
            </w:r>
          </w:p>
        </w:tc>
      </w:tr>
      <w:tr w:rsidR="007867F4" w14:paraId="167264E0" w14:textId="77777777">
        <w:tc>
          <w:tcPr>
            <w:tcW w:w="850" w:type="dxa"/>
            <w:shd w:val="clear" w:color="auto" w:fill="F2F2F2"/>
            <w:tcMar>
              <w:top w:w="65" w:type="dxa"/>
              <w:left w:w="95" w:type="dxa"/>
              <w:bottom w:w="65" w:type="dxa"/>
              <w:right w:w="95" w:type="dxa"/>
            </w:tcMar>
            <w:vAlign w:val="center"/>
          </w:tcPr>
          <w:p w14:paraId="14C43AC0" w14:textId="77777777" w:rsidR="007867F4"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470E8A54" w14:textId="77777777" w:rsidR="007867F4"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13DD9A4D" w14:textId="77777777" w:rsidR="007867F4"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37753106" w14:textId="77777777" w:rsidR="007867F4"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25E67DBC" w14:textId="77777777" w:rsidR="007867F4" w:rsidRDefault="00000000">
            <w:r>
              <w:rPr>
                <w:color w:val="000000"/>
                <w:sz w:val="17"/>
                <w:szCs w:val="17"/>
              </w:rPr>
              <w:t>Revenir sur les notions moins bien maîtrisées et convenir d'un plan de consolidation individuel.</w:t>
            </w:r>
          </w:p>
        </w:tc>
      </w:tr>
    </w:tbl>
    <w:p w14:paraId="3D94951B" w14:textId="77777777" w:rsidR="007867F4" w:rsidRDefault="007867F4">
      <w:pPr>
        <w:spacing w:after="180"/>
      </w:pPr>
    </w:p>
    <w:p w14:paraId="0828FB56" w14:textId="77777777" w:rsidR="007867F4" w:rsidRDefault="00000000">
      <w:pPr>
        <w:pStyle w:val="Titre2"/>
        <w:pBdr>
          <w:bottom w:val="single" w:sz="6" w:space="4" w:color="2E75B6"/>
        </w:pBdr>
        <w:spacing w:before="260" w:after="120"/>
      </w:pPr>
      <w:r>
        <w:rPr>
          <w:b/>
          <w:bCs/>
          <w:color w:val="1F3864"/>
          <w:sz w:val="22"/>
          <w:szCs w:val="22"/>
        </w:rPr>
        <w:t>6.2 Séquence de priorité, à partir du mois 2</w:t>
      </w:r>
    </w:p>
    <w:p w14:paraId="273ED382" w14:textId="77777777" w:rsidR="007867F4" w:rsidRDefault="00000000">
      <w:pPr>
        <w:spacing w:after="140" w:line="280" w:lineRule="auto"/>
      </w:pPr>
      <w:r>
        <w:t>Le tableau qui suit présente, dans l'ordre de priorité établi, les formations à voir après le mois 1, avec un accent sur l'examen clinique, le delirium et les syndromes gériatriques en contexte hospitalier.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7867F4" w14:paraId="511BF3A3" w14:textId="77777777">
        <w:trPr>
          <w:tblHeader/>
        </w:trPr>
        <w:tc>
          <w:tcPr>
            <w:tcW w:w="700" w:type="dxa"/>
            <w:shd w:val="clear" w:color="auto" w:fill="1F3864"/>
            <w:tcMar>
              <w:top w:w="65" w:type="dxa"/>
              <w:left w:w="95" w:type="dxa"/>
              <w:bottom w:w="65" w:type="dxa"/>
              <w:right w:w="95" w:type="dxa"/>
            </w:tcMar>
            <w:vAlign w:val="center"/>
          </w:tcPr>
          <w:p w14:paraId="3044DDB9" w14:textId="77777777" w:rsidR="007867F4"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5CFABE39"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1A607D81" w14:textId="77777777" w:rsidR="007867F4"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02BB8DD1" w14:textId="77777777" w:rsidR="007867F4"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703C3722" w14:textId="77777777" w:rsidR="007867F4" w:rsidRDefault="00000000">
            <w:r>
              <w:rPr>
                <w:b/>
                <w:bCs/>
                <w:color w:val="FFFFFF"/>
                <w:sz w:val="17"/>
                <w:szCs w:val="17"/>
              </w:rPr>
              <w:t>Objectif d'apprentissage</w:t>
            </w:r>
          </w:p>
        </w:tc>
      </w:tr>
      <w:tr w:rsidR="007867F4" w14:paraId="3A54CB98" w14:textId="77777777">
        <w:tc>
          <w:tcPr>
            <w:tcW w:w="700" w:type="dxa"/>
            <w:tcMar>
              <w:top w:w="65" w:type="dxa"/>
              <w:left w:w="95" w:type="dxa"/>
              <w:bottom w:w="65" w:type="dxa"/>
              <w:right w:w="95" w:type="dxa"/>
            </w:tcMar>
            <w:vAlign w:val="center"/>
          </w:tcPr>
          <w:p w14:paraId="385E8E5B" w14:textId="77777777" w:rsidR="007867F4" w:rsidRDefault="00000000">
            <w:r>
              <w:rPr>
                <w:color w:val="000000"/>
                <w:sz w:val="17"/>
                <w:szCs w:val="17"/>
              </w:rPr>
              <w:t>1</w:t>
            </w:r>
          </w:p>
        </w:tc>
        <w:tc>
          <w:tcPr>
            <w:tcW w:w="3550" w:type="dxa"/>
            <w:tcMar>
              <w:top w:w="65" w:type="dxa"/>
              <w:left w:w="95" w:type="dxa"/>
              <w:bottom w:w="65" w:type="dxa"/>
              <w:right w:w="95" w:type="dxa"/>
            </w:tcMar>
            <w:vAlign w:val="center"/>
          </w:tcPr>
          <w:p w14:paraId="1E88003E" w14:textId="77777777" w:rsidR="007867F4" w:rsidRDefault="00000000">
            <w:r>
              <w:rPr>
                <w:color w:val="000000"/>
                <w:sz w:val="17"/>
                <w:szCs w:val="17"/>
              </w:rPr>
              <w:t>2.03 – L'examen clinique sommaire de l'aîné lors de situations complexes, avec questionnaire</w:t>
            </w:r>
          </w:p>
        </w:tc>
        <w:tc>
          <w:tcPr>
            <w:tcW w:w="1350" w:type="dxa"/>
            <w:tcMar>
              <w:top w:w="65" w:type="dxa"/>
              <w:left w:w="95" w:type="dxa"/>
              <w:bottom w:w="65" w:type="dxa"/>
              <w:right w:w="95" w:type="dxa"/>
            </w:tcMar>
            <w:vAlign w:val="center"/>
          </w:tcPr>
          <w:p w14:paraId="627E136D" w14:textId="77777777" w:rsidR="007867F4" w:rsidRDefault="00000000">
            <w:r>
              <w:rPr>
                <w:color w:val="000000"/>
                <w:sz w:val="17"/>
                <w:szCs w:val="17"/>
              </w:rPr>
              <w:t>Vidéo asynchrone, 12 vidéos</w:t>
            </w:r>
          </w:p>
        </w:tc>
        <w:tc>
          <w:tcPr>
            <w:tcW w:w="1400" w:type="dxa"/>
            <w:tcMar>
              <w:top w:w="65" w:type="dxa"/>
              <w:left w:w="95" w:type="dxa"/>
              <w:bottom w:w="65" w:type="dxa"/>
              <w:right w:w="95" w:type="dxa"/>
            </w:tcMar>
            <w:vAlign w:val="center"/>
          </w:tcPr>
          <w:p w14:paraId="19BC32B0" w14:textId="77777777" w:rsidR="007867F4" w:rsidRDefault="00000000">
            <w:r>
              <w:rPr>
                <w:color w:val="000000"/>
                <w:sz w:val="17"/>
                <w:szCs w:val="17"/>
              </w:rPr>
              <w:t>3 h 41 (4 h 06 avec questionnaire)</w:t>
            </w:r>
          </w:p>
        </w:tc>
        <w:tc>
          <w:tcPr>
            <w:tcW w:w="3800" w:type="dxa"/>
            <w:tcMar>
              <w:top w:w="65" w:type="dxa"/>
              <w:left w:w="95" w:type="dxa"/>
              <w:bottom w:w="65" w:type="dxa"/>
              <w:right w:w="95" w:type="dxa"/>
            </w:tcMar>
            <w:vAlign w:val="center"/>
          </w:tcPr>
          <w:p w14:paraId="63F1479A" w14:textId="77777777" w:rsidR="007867F4" w:rsidRDefault="00000000">
            <w:r>
              <w:rPr>
                <w:color w:val="000000"/>
                <w:sz w:val="17"/>
                <w:szCs w:val="17"/>
              </w:rPr>
              <w:t>Effectuer un examen clinique sommaire ciblé et poser un jugement clinique devant une situation gériatrique complexe.</w:t>
            </w:r>
          </w:p>
        </w:tc>
      </w:tr>
      <w:tr w:rsidR="007867F4" w14:paraId="0E01CAA6" w14:textId="77777777">
        <w:tc>
          <w:tcPr>
            <w:tcW w:w="700" w:type="dxa"/>
            <w:shd w:val="clear" w:color="auto" w:fill="F2F2F2"/>
            <w:tcMar>
              <w:top w:w="65" w:type="dxa"/>
              <w:left w:w="95" w:type="dxa"/>
              <w:bottom w:w="65" w:type="dxa"/>
              <w:right w:w="95" w:type="dxa"/>
            </w:tcMar>
            <w:vAlign w:val="center"/>
          </w:tcPr>
          <w:p w14:paraId="6213483B" w14:textId="77777777" w:rsidR="007867F4"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18C6DA40" w14:textId="77777777" w:rsidR="007867F4" w:rsidRDefault="00000000">
            <w:r>
              <w:rPr>
                <w:color w:val="000000"/>
                <w:sz w:val="17"/>
                <w:szCs w:val="17"/>
              </w:rPr>
              <w:t>3.01 – Les chutes, dépistage, prévention et évaluation post-chute, avec questionnaire</w:t>
            </w:r>
          </w:p>
        </w:tc>
        <w:tc>
          <w:tcPr>
            <w:tcW w:w="1350" w:type="dxa"/>
            <w:shd w:val="clear" w:color="auto" w:fill="F2F2F2"/>
            <w:tcMar>
              <w:top w:w="65" w:type="dxa"/>
              <w:left w:w="95" w:type="dxa"/>
              <w:bottom w:w="65" w:type="dxa"/>
              <w:right w:w="95" w:type="dxa"/>
            </w:tcMar>
            <w:vAlign w:val="center"/>
          </w:tcPr>
          <w:p w14:paraId="1FAF826C" w14:textId="77777777" w:rsidR="007867F4" w:rsidRDefault="00000000">
            <w:r>
              <w:rPr>
                <w:color w:val="000000"/>
                <w:sz w:val="17"/>
                <w:szCs w:val="17"/>
              </w:rPr>
              <w:t>Vidéo asynchrone, 7 vidéos</w:t>
            </w:r>
          </w:p>
        </w:tc>
        <w:tc>
          <w:tcPr>
            <w:tcW w:w="1400" w:type="dxa"/>
            <w:shd w:val="clear" w:color="auto" w:fill="F2F2F2"/>
            <w:tcMar>
              <w:top w:w="65" w:type="dxa"/>
              <w:left w:w="95" w:type="dxa"/>
              <w:bottom w:w="65" w:type="dxa"/>
              <w:right w:w="95" w:type="dxa"/>
            </w:tcMar>
            <w:vAlign w:val="center"/>
          </w:tcPr>
          <w:p w14:paraId="2B2B336A" w14:textId="77777777" w:rsidR="007867F4" w:rsidRDefault="00000000">
            <w:r>
              <w:rPr>
                <w:color w:val="000000"/>
                <w:sz w:val="17"/>
                <w:szCs w:val="17"/>
              </w:rPr>
              <w:t>1 h 48 (2 h 13 avec questionnaire)</w:t>
            </w:r>
          </w:p>
        </w:tc>
        <w:tc>
          <w:tcPr>
            <w:tcW w:w="3800" w:type="dxa"/>
            <w:shd w:val="clear" w:color="auto" w:fill="F2F2F2"/>
            <w:tcMar>
              <w:top w:w="65" w:type="dxa"/>
              <w:left w:w="95" w:type="dxa"/>
              <w:bottom w:w="65" w:type="dxa"/>
              <w:right w:w="95" w:type="dxa"/>
            </w:tcMar>
            <w:vAlign w:val="center"/>
          </w:tcPr>
          <w:p w14:paraId="33603C9B" w14:textId="77777777" w:rsidR="007867F4" w:rsidRDefault="00000000">
            <w:r>
              <w:rPr>
                <w:color w:val="000000"/>
                <w:sz w:val="17"/>
                <w:szCs w:val="17"/>
              </w:rPr>
              <w:t>Dépister le risque de chute, intervenir en prévention et réaliser l'évaluation post-chute en centre hospitalier.</w:t>
            </w:r>
          </w:p>
        </w:tc>
      </w:tr>
      <w:tr w:rsidR="007867F4" w14:paraId="56340008" w14:textId="77777777">
        <w:tc>
          <w:tcPr>
            <w:tcW w:w="700" w:type="dxa"/>
            <w:tcMar>
              <w:top w:w="65" w:type="dxa"/>
              <w:left w:w="95" w:type="dxa"/>
              <w:bottom w:w="65" w:type="dxa"/>
              <w:right w:w="95" w:type="dxa"/>
            </w:tcMar>
            <w:vAlign w:val="center"/>
          </w:tcPr>
          <w:p w14:paraId="75C7E897" w14:textId="77777777" w:rsidR="007867F4" w:rsidRDefault="00000000">
            <w:r>
              <w:rPr>
                <w:color w:val="000000"/>
                <w:sz w:val="17"/>
                <w:szCs w:val="17"/>
              </w:rPr>
              <w:t>3</w:t>
            </w:r>
          </w:p>
        </w:tc>
        <w:tc>
          <w:tcPr>
            <w:tcW w:w="3550" w:type="dxa"/>
            <w:tcMar>
              <w:top w:w="65" w:type="dxa"/>
              <w:left w:w="95" w:type="dxa"/>
              <w:bottom w:w="65" w:type="dxa"/>
              <w:right w:w="95" w:type="dxa"/>
            </w:tcMar>
            <w:vAlign w:val="center"/>
          </w:tcPr>
          <w:p w14:paraId="1132E218" w14:textId="77777777" w:rsidR="007867F4" w:rsidRDefault="00000000">
            <w:r>
              <w:rPr>
                <w:color w:val="000000"/>
                <w:sz w:val="17"/>
                <w:szCs w:val="17"/>
              </w:rPr>
              <w:t>3.02 – Évaluation, intervention et surveillance clinique des signes AINÉES, version personnel infirmier, avec questionnaire</w:t>
            </w:r>
          </w:p>
        </w:tc>
        <w:tc>
          <w:tcPr>
            <w:tcW w:w="1350" w:type="dxa"/>
            <w:tcMar>
              <w:top w:w="65" w:type="dxa"/>
              <w:left w:w="95" w:type="dxa"/>
              <w:bottom w:w="65" w:type="dxa"/>
              <w:right w:w="95" w:type="dxa"/>
            </w:tcMar>
            <w:vAlign w:val="center"/>
          </w:tcPr>
          <w:p w14:paraId="6818624C" w14:textId="77777777" w:rsidR="007867F4" w:rsidRDefault="00000000">
            <w:r>
              <w:rPr>
                <w:color w:val="000000"/>
                <w:sz w:val="17"/>
                <w:szCs w:val="17"/>
              </w:rPr>
              <w:t>Vidéo asynchrone, 6 vidéos</w:t>
            </w:r>
          </w:p>
        </w:tc>
        <w:tc>
          <w:tcPr>
            <w:tcW w:w="1400" w:type="dxa"/>
            <w:tcMar>
              <w:top w:w="65" w:type="dxa"/>
              <w:left w:w="95" w:type="dxa"/>
              <w:bottom w:w="65" w:type="dxa"/>
              <w:right w:w="95" w:type="dxa"/>
            </w:tcMar>
            <w:vAlign w:val="center"/>
          </w:tcPr>
          <w:p w14:paraId="0A7FE490" w14:textId="77777777" w:rsidR="007867F4" w:rsidRDefault="00000000">
            <w:r>
              <w:rPr>
                <w:color w:val="000000"/>
                <w:sz w:val="17"/>
                <w:szCs w:val="17"/>
              </w:rPr>
              <w:t>3 h 04 (3 h 29 avec questionnaire)</w:t>
            </w:r>
          </w:p>
        </w:tc>
        <w:tc>
          <w:tcPr>
            <w:tcW w:w="3800" w:type="dxa"/>
            <w:tcMar>
              <w:top w:w="65" w:type="dxa"/>
              <w:left w:w="95" w:type="dxa"/>
              <w:bottom w:w="65" w:type="dxa"/>
              <w:right w:w="95" w:type="dxa"/>
            </w:tcMar>
            <w:vAlign w:val="center"/>
          </w:tcPr>
          <w:p w14:paraId="677031D1" w14:textId="77777777" w:rsidR="007867F4" w:rsidRDefault="00000000">
            <w:r>
              <w:rPr>
                <w:color w:val="000000"/>
                <w:sz w:val="17"/>
                <w:szCs w:val="17"/>
              </w:rPr>
              <w:t>Appliquer la grille AINÉES pour dépister et prévenir systématiquement les syndromes gériatriques durant l'hospitalisation.</w:t>
            </w:r>
          </w:p>
        </w:tc>
      </w:tr>
      <w:tr w:rsidR="007867F4" w14:paraId="61B6625E" w14:textId="77777777">
        <w:tc>
          <w:tcPr>
            <w:tcW w:w="700" w:type="dxa"/>
            <w:shd w:val="clear" w:color="auto" w:fill="F2F2F2"/>
            <w:tcMar>
              <w:top w:w="65" w:type="dxa"/>
              <w:left w:w="95" w:type="dxa"/>
              <w:bottom w:w="65" w:type="dxa"/>
              <w:right w:w="95" w:type="dxa"/>
            </w:tcMar>
            <w:vAlign w:val="center"/>
          </w:tcPr>
          <w:p w14:paraId="23F21C55" w14:textId="77777777" w:rsidR="007867F4"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1A35B229" w14:textId="77777777" w:rsidR="007867F4" w:rsidRDefault="00000000">
            <w:r>
              <w:rPr>
                <w:color w:val="000000"/>
                <w:sz w:val="17"/>
                <w:szCs w:val="17"/>
              </w:rPr>
              <w:t>3.05 – Communiquer avec le médecin et le proche lors d'un événement, méthode SBAR</w:t>
            </w:r>
          </w:p>
        </w:tc>
        <w:tc>
          <w:tcPr>
            <w:tcW w:w="1350" w:type="dxa"/>
            <w:shd w:val="clear" w:color="auto" w:fill="F2F2F2"/>
            <w:tcMar>
              <w:top w:w="65" w:type="dxa"/>
              <w:left w:w="95" w:type="dxa"/>
              <w:bottom w:w="65" w:type="dxa"/>
              <w:right w:w="95" w:type="dxa"/>
            </w:tcMar>
            <w:vAlign w:val="center"/>
          </w:tcPr>
          <w:p w14:paraId="19009B19"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474ADD82" w14:textId="77777777" w:rsidR="007867F4" w:rsidRDefault="00000000">
            <w:r>
              <w:rPr>
                <w:color w:val="000000"/>
                <w:sz w:val="17"/>
                <w:szCs w:val="17"/>
              </w:rPr>
              <w:t>16 min (20 min avec questionnaire)</w:t>
            </w:r>
          </w:p>
        </w:tc>
        <w:tc>
          <w:tcPr>
            <w:tcW w:w="3800" w:type="dxa"/>
            <w:shd w:val="clear" w:color="auto" w:fill="F2F2F2"/>
            <w:tcMar>
              <w:top w:w="65" w:type="dxa"/>
              <w:left w:w="95" w:type="dxa"/>
              <w:bottom w:w="65" w:type="dxa"/>
              <w:right w:w="95" w:type="dxa"/>
            </w:tcMar>
            <w:vAlign w:val="center"/>
          </w:tcPr>
          <w:p w14:paraId="1E208C63" w14:textId="77777777" w:rsidR="007867F4" w:rsidRDefault="00000000">
            <w:r>
              <w:rPr>
                <w:color w:val="000000"/>
                <w:sz w:val="17"/>
                <w:szCs w:val="17"/>
              </w:rPr>
              <w:t>Structurer une communication claire et complète lors d'un événement clinique.</w:t>
            </w:r>
          </w:p>
        </w:tc>
      </w:tr>
      <w:tr w:rsidR="007867F4" w14:paraId="60B763D6" w14:textId="77777777">
        <w:tc>
          <w:tcPr>
            <w:tcW w:w="700" w:type="dxa"/>
            <w:tcMar>
              <w:top w:w="65" w:type="dxa"/>
              <w:left w:w="95" w:type="dxa"/>
              <w:bottom w:w="65" w:type="dxa"/>
              <w:right w:w="95" w:type="dxa"/>
            </w:tcMar>
            <w:vAlign w:val="center"/>
          </w:tcPr>
          <w:p w14:paraId="2CE89707" w14:textId="77777777" w:rsidR="007867F4" w:rsidRDefault="00000000">
            <w:r>
              <w:rPr>
                <w:color w:val="000000"/>
                <w:sz w:val="17"/>
                <w:szCs w:val="17"/>
              </w:rPr>
              <w:t>5</w:t>
            </w:r>
          </w:p>
        </w:tc>
        <w:tc>
          <w:tcPr>
            <w:tcW w:w="3550" w:type="dxa"/>
            <w:tcMar>
              <w:top w:w="65" w:type="dxa"/>
              <w:left w:w="95" w:type="dxa"/>
              <w:bottom w:w="65" w:type="dxa"/>
              <w:right w:w="95" w:type="dxa"/>
            </w:tcMar>
            <w:vAlign w:val="center"/>
          </w:tcPr>
          <w:p w14:paraId="71F6AA14" w14:textId="77777777" w:rsidR="007867F4" w:rsidRDefault="00000000">
            <w:r>
              <w:rPr>
                <w:color w:val="000000"/>
                <w:sz w:val="17"/>
                <w:szCs w:val="17"/>
              </w:rPr>
              <w:t>3.12 – Le delirium, sa prévention, sa détection et son traitement, avec questionnaire</w:t>
            </w:r>
          </w:p>
        </w:tc>
        <w:tc>
          <w:tcPr>
            <w:tcW w:w="1350" w:type="dxa"/>
            <w:tcMar>
              <w:top w:w="65" w:type="dxa"/>
              <w:left w:w="95" w:type="dxa"/>
              <w:bottom w:w="65" w:type="dxa"/>
              <w:right w:w="95" w:type="dxa"/>
            </w:tcMar>
            <w:vAlign w:val="center"/>
          </w:tcPr>
          <w:p w14:paraId="1EE7A67F" w14:textId="77777777" w:rsidR="007867F4" w:rsidRDefault="00000000">
            <w:r>
              <w:rPr>
                <w:color w:val="000000"/>
                <w:sz w:val="17"/>
                <w:szCs w:val="17"/>
              </w:rPr>
              <w:t>Vidéo asynchrone, 9 vidéos</w:t>
            </w:r>
          </w:p>
        </w:tc>
        <w:tc>
          <w:tcPr>
            <w:tcW w:w="1400" w:type="dxa"/>
            <w:tcMar>
              <w:top w:w="65" w:type="dxa"/>
              <w:left w:w="95" w:type="dxa"/>
              <w:bottom w:w="65" w:type="dxa"/>
              <w:right w:w="95" w:type="dxa"/>
            </w:tcMar>
            <w:vAlign w:val="center"/>
          </w:tcPr>
          <w:p w14:paraId="37EB18E6" w14:textId="77777777" w:rsidR="007867F4" w:rsidRDefault="00000000">
            <w:r>
              <w:rPr>
                <w:color w:val="000000"/>
                <w:sz w:val="17"/>
                <w:szCs w:val="17"/>
              </w:rPr>
              <w:t>2 h 47 (3 h 12 avec questionnaire)</w:t>
            </w:r>
          </w:p>
        </w:tc>
        <w:tc>
          <w:tcPr>
            <w:tcW w:w="3800" w:type="dxa"/>
            <w:tcMar>
              <w:top w:w="65" w:type="dxa"/>
              <w:left w:w="95" w:type="dxa"/>
              <w:bottom w:w="65" w:type="dxa"/>
              <w:right w:w="95" w:type="dxa"/>
            </w:tcMar>
            <w:vAlign w:val="center"/>
          </w:tcPr>
          <w:p w14:paraId="51270353" w14:textId="77777777" w:rsidR="007867F4" w:rsidRDefault="00000000">
            <w:r>
              <w:rPr>
                <w:color w:val="000000"/>
                <w:sz w:val="17"/>
                <w:szCs w:val="17"/>
              </w:rPr>
              <w:t>Prévenir, détecter au moyen du RADAR ou du 4AT, et traiter le delirium chez la personne âgée hospitalisée.</w:t>
            </w:r>
          </w:p>
        </w:tc>
      </w:tr>
      <w:tr w:rsidR="007867F4" w14:paraId="30E0B720" w14:textId="77777777">
        <w:tc>
          <w:tcPr>
            <w:tcW w:w="700" w:type="dxa"/>
            <w:shd w:val="clear" w:color="auto" w:fill="F2F2F2"/>
            <w:tcMar>
              <w:top w:w="65" w:type="dxa"/>
              <w:left w:w="95" w:type="dxa"/>
              <w:bottom w:w="65" w:type="dxa"/>
              <w:right w:w="95" w:type="dxa"/>
            </w:tcMar>
            <w:vAlign w:val="center"/>
          </w:tcPr>
          <w:p w14:paraId="767DFD07" w14:textId="77777777" w:rsidR="007867F4"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5A60F226" w14:textId="77777777" w:rsidR="007867F4" w:rsidRDefault="00000000">
            <w:r>
              <w:rPr>
                <w:color w:val="000000"/>
                <w:sz w:val="17"/>
                <w:szCs w:val="17"/>
              </w:rPr>
              <w:t xml:space="preserve">3.18 – </w:t>
            </w:r>
            <w:proofErr w:type="spellStart"/>
            <w:r>
              <w:rPr>
                <w:color w:val="000000"/>
                <w:sz w:val="17"/>
                <w:szCs w:val="17"/>
              </w:rPr>
              <w:t>Déprescription</w:t>
            </w:r>
            <w:proofErr w:type="spellEnd"/>
            <w:r>
              <w:rPr>
                <w:color w:val="000000"/>
                <w:sz w:val="17"/>
                <w:szCs w:val="17"/>
              </w:rPr>
              <w:t xml:space="preserve"> des médicaments, un rôle pour la profession infirmière, avec questionnaire</w:t>
            </w:r>
          </w:p>
        </w:tc>
        <w:tc>
          <w:tcPr>
            <w:tcW w:w="1350" w:type="dxa"/>
            <w:shd w:val="clear" w:color="auto" w:fill="F2F2F2"/>
            <w:tcMar>
              <w:top w:w="65" w:type="dxa"/>
              <w:left w:w="95" w:type="dxa"/>
              <w:bottom w:w="65" w:type="dxa"/>
              <w:right w:w="95" w:type="dxa"/>
            </w:tcMar>
            <w:vAlign w:val="center"/>
          </w:tcPr>
          <w:p w14:paraId="54367857" w14:textId="77777777" w:rsidR="007867F4" w:rsidRDefault="00000000">
            <w:r>
              <w:rPr>
                <w:color w:val="000000"/>
                <w:sz w:val="17"/>
                <w:szCs w:val="17"/>
              </w:rPr>
              <w:t>Vidéo asynchrone, 4 vidéos</w:t>
            </w:r>
          </w:p>
        </w:tc>
        <w:tc>
          <w:tcPr>
            <w:tcW w:w="1400" w:type="dxa"/>
            <w:shd w:val="clear" w:color="auto" w:fill="F2F2F2"/>
            <w:tcMar>
              <w:top w:w="65" w:type="dxa"/>
              <w:left w:w="95" w:type="dxa"/>
              <w:bottom w:w="65" w:type="dxa"/>
              <w:right w:w="95" w:type="dxa"/>
            </w:tcMar>
            <w:vAlign w:val="center"/>
          </w:tcPr>
          <w:p w14:paraId="48B387F5" w14:textId="77777777" w:rsidR="007867F4" w:rsidRDefault="00000000">
            <w:r>
              <w:rPr>
                <w:color w:val="000000"/>
                <w:sz w:val="17"/>
                <w:szCs w:val="17"/>
              </w:rPr>
              <w:t>1 h 24 (1 h 49 avec questionnaire)</w:t>
            </w:r>
          </w:p>
        </w:tc>
        <w:tc>
          <w:tcPr>
            <w:tcW w:w="3800" w:type="dxa"/>
            <w:shd w:val="clear" w:color="auto" w:fill="F2F2F2"/>
            <w:tcMar>
              <w:top w:w="65" w:type="dxa"/>
              <w:left w:w="95" w:type="dxa"/>
              <w:bottom w:w="65" w:type="dxa"/>
              <w:right w:w="95" w:type="dxa"/>
            </w:tcMar>
            <w:vAlign w:val="center"/>
          </w:tcPr>
          <w:p w14:paraId="2A73A07D" w14:textId="77777777" w:rsidR="007867F4" w:rsidRDefault="00000000">
            <w:r>
              <w:rPr>
                <w:color w:val="000000"/>
                <w:sz w:val="17"/>
                <w:szCs w:val="17"/>
              </w:rPr>
              <w:t xml:space="preserve">Contribuer activement au processus de </w:t>
            </w:r>
            <w:proofErr w:type="spellStart"/>
            <w:r>
              <w:rPr>
                <w:color w:val="000000"/>
                <w:sz w:val="17"/>
                <w:szCs w:val="17"/>
              </w:rPr>
              <w:t>déprescription</w:t>
            </w:r>
            <w:proofErr w:type="spellEnd"/>
            <w:r>
              <w:rPr>
                <w:color w:val="000000"/>
                <w:sz w:val="17"/>
                <w:szCs w:val="17"/>
              </w:rPr>
              <w:t xml:space="preserve"> et à la surveillance clinique qui en découle.</w:t>
            </w:r>
          </w:p>
        </w:tc>
      </w:tr>
      <w:tr w:rsidR="007867F4" w14:paraId="344F7F5C" w14:textId="77777777">
        <w:tc>
          <w:tcPr>
            <w:tcW w:w="700" w:type="dxa"/>
            <w:tcMar>
              <w:top w:w="65" w:type="dxa"/>
              <w:left w:w="95" w:type="dxa"/>
              <w:bottom w:w="65" w:type="dxa"/>
              <w:right w:w="95" w:type="dxa"/>
            </w:tcMar>
            <w:vAlign w:val="center"/>
          </w:tcPr>
          <w:p w14:paraId="37DE06B1" w14:textId="77777777" w:rsidR="007867F4" w:rsidRDefault="00000000">
            <w:r>
              <w:rPr>
                <w:color w:val="000000"/>
                <w:sz w:val="17"/>
                <w:szCs w:val="17"/>
              </w:rPr>
              <w:t>7</w:t>
            </w:r>
          </w:p>
        </w:tc>
        <w:tc>
          <w:tcPr>
            <w:tcW w:w="3550" w:type="dxa"/>
            <w:tcMar>
              <w:top w:w="65" w:type="dxa"/>
              <w:left w:w="95" w:type="dxa"/>
              <w:bottom w:w="65" w:type="dxa"/>
              <w:right w:w="95" w:type="dxa"/>
            </w:tcMar>
            <w:vAlign w:val="center"/>
          </w:tcPr>
          <w:p w14:paraId="5BB37364" w14:textId="77777777" w:rsidR="007867F4" w:rsidRDefault="00000000">
            <w:r>
              <w:rPr>
                <w:color w:val="000000"/>
                <w:sz w:val="17"/>
                <w:szCs w:val="17"/>
              </w:rPr>
              <w:t>1.10 – Les interventions non pharmacologiques pour le traitement des SCPD, avec questionnaire</w:t>
            </w:r>
          </w:p>
        </w:tc>
        <w:tc>
          <w:tcPr>
            <w:tcW w:w="1350" w:type="dxa"/>
            <w:tcMar>
              <w:top w:w="65" w:type="dxa"/>
              <w:left w:w="95" w:type="dxa"/>
              <w:bottom w:w="65" w:type="dxa"/>
              <w:right w:w="95" w:type="dxa"/>
            </w:tcMar>
            <w:vAlign w:val="center"/>
          </w:tcPr>
          <w:p w14:paraId="0E5E9AEC" w14:textId="77777777" w:rsidR="007867F4" w:rsidRDefault="00000000">
            <w:r>
              <w:rPr>
                <w:color w:val="000000"/>
                <w:sz w:val="17"/>
                <w:szCs w:val="17"/>
              </w:rPr>
              <w:t>Vidéo asynchrone, 4 vidéos</w:t>
            </w:r>
          </w:p>
        </w:tc>
        <w:tc>
          <w:tcPr>
            <w:tcW w:w="1400" w:type="dxa"/>
            <w:tcMar>
              <w:top w:w="65" w:type="dxa"/>
              <w:left w:w="95" w:type="dxa"/>
              <w:bottom w:w="65" w:type="dxa"/>
              <w:right w:w="95" w:type="dxa"/>
            </w:tcMar>
            <w:vAlign w:val="center"/>
          </w:tcPr>
          <w:p w14:paraId="5E6A102C" w14:textId="77777777" w:rsidR="007867F4" w:rsidRDefault="00000000">
            <w:r>
              <w:rPr>
                <w:color w:val="000000"/>
                <w:sz w:val="17"/>
                <w:szCs w:val="17"/>
              </w:rPr>
              <w:t>1 h 28 (1 h 53 avec questionnaire)</w:t>
            </w:r>
          </w:p>
        </w:tc>
        <w:tc>
          <w:tcPr>
            <w:tcW w:w="3800" w:type="dxa"/>
            <w:tcMar>
              <w:top w:w="65" w:type="dxa"/>
              <w:left w:w="95" w:type="dxa"/>
              <w:bottom w:w="65" w:type="dxa"/>
              <w:right w:w="95" w:type="dxa"/>
            </w:tcMar>
            <w:vAlign w:val="center"/>
          </w:tcPr>
          <w:p w14:paraId="25FB49EB" w14:textId="77777777" w:rsidR="007867F4" w:rsidRDefault="00000000">
            <w:r>
              <w:rPr>
                <w:color w:val="000000"/>
                <w:sz w:val="17"/>
                <w:szCs w:val="17"/>
              </w:rPr>
              <w:t>Choisir et appliquer une intervention non pharmacologique adaptée à la cause du SCPD observé.</w:t>
            </w:r>
          </w:p>
        </w:tc>
      </w:tr>
      <w:tr w:rsidR="007867F4" w14:paraId="5FFF6426" w14:textId="77777777">
        <w:tc>
          <w:tcPr>
            <w:tcW w:w="700" w:type="dxa"/>
            <w:shd w:val="clear" w:color="auto" w:fill="F2F2F2"/>
            <w:tcMar>
              <w:top w:w="65" w:type="dxa"/>
              <w:left w:w="95" w:type="dxa"/>
              <w:bottom w:w="65" w:type="dxa"/>
              <w:right w:w="95" w:type="dxa"/>
            </w:tcMar>
            <w:vAlign w:val="center"/>
          </w:tcPr>
          <w:p w14:paraId="68D5AEBB" w14:textId="77777777" w:rsidR="007867F4"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689D329E" w14:textId="77777777" w:rsidR="007867F4" w:rsidRDefault="00000000">
            <w:r>
              <w:rPr>
                <w:color w:val="000000"/>
                <w:sz w:val="17"/>
                <w:szCs w:val="17"/>
              </w:rPr>
              <w:t>2.02 – L'évaluation dans les contextes des SCPD, avec questionnaire</w:t>
            </w:r>
          </w:p>
        </w:tc>
        <w:tc>
          <w:tcPr>
            <w:tcW w:w="1350" w:type="dxa"/>
            <w:shd w:val="clear" w:color="auto" w:fill="F2F2F2"/>
            <w:tcMar>
              <w:top w:w="65" w:type="dxa"/>
              <w:left w:w="95" w:type="dxa"/>
              <w:bottom w:w="65" w:type="dxa"/>
              <w:right w:w="95" w:type="dxa"/>
            </w:tcMar>
            <w:vAlign w:val="center"/>
          </w:tcPr>
          <w:p w14:paraId="71ABCCCF" w14:textId="77777777" w:rsidR="007867F4" w:rsidRDefault="00000000">
            <w:r>
              <w:rPr>
                <w:color w:val="000000"/>
                <w:sz w:val="17"/>
                <w:szCs w:val="17"/>
              </w:rPr>
              <w:t>Vidéo asynchrone, 2 vidéos</w:t>
            </w:r>
          </w:p>
        </w:tc>
        <w:tc>
          <w:tcPr>
            <w:tcW w:w="1400" w:type="dxa"/>
            <w:shd w:val="clear" w:color="auto" w:fill="F2F2F2"/>
            <w:tcMar>
              <w:top w:w="65" w:type="dxa"/>
              <w:left w:w="95" w:type="dxa"/>
              <w:bottom w:w="65" w:type="dxa"/>
              <w:right w:w="95" w:type="dxa"/>
            </w:tcMar>
            <w:vAlign w:val="center"/>
          </w:tcPr>
          <w:p w14:paraId="66DD133D" w14:textId="77777777" w:rsidR="007867F4" w:rsidRDefault="00000000">
            <w:r>
              <w:rPr>
                <w:color w:val="000000"/>
                <w:sz w:val="17"/>
                <w:szCs w:val="17"/>
              </w:rPr>
              <w:t>31 min (56 min avec questionnaire)</w:t>
            </w:r>
          </w:p>
        </w:tc>
        <w:tc>
          <w:tcPr>
            <w:tcW w:w="3800" w:type="dxa"/>
            <w:shd w:val="clear" w:color="auto" w:fill="F2F2F2"/>
            <w:tcMar>
              <w:top w:w="65" w:type="dxa"/>
              <w:left w:w="95" w:type="dxa"/>
              <w:bottom w:w="65" w:type="dxa"/>
              <w:right w:w="95" w:type="dxa"/>
            </w:tcMar>
            <w:vAlign w:val="center"/>
          </w:tcPr>
          <w:p w14:paraId="4A37F6AF" w14:textId="77777777" w:rsidR="007867F4" w:rsidRDefault="00000000">
            <w:r>
              <w:rPr>
                <w:color w:val="000000"/>
                <w:sz w:val="17"/>
                <w:szCs w:val="17"/>
              </w:rPr>
              <w:t>Structurer une démarche clinique d'évaluation devant un SCPD à l'aide d'outils validés, dont l'inventaire d'agitation de Cohen-Mansfield et l'inventaire neuropsychiatrique de Cummings.</w:t>
            </w:r>
          </w:p>
        </w:tc>
      </w:tr>
      <w:tr w:rsidR="007867F4" w14:paraId="62AA1FFF" w14:textId="77777777">
        <w:tc>
          <w:tcPr>
            <w:tcW w:w="700" w:type="dxa"/>
            <w:tcMar>
              <w:top w:w="65" w:type="dxa"/>
              <w:left w:w="95" w:type="dxa"/>
              <w:bottom w:w="65" w:type="dxa"/>
              <w:right w:w="95" w:type="dxa"/>
            </w:tcMar>
            <w:vAlign w:val="center"/>
          </w:tcPr>
          <w:p w14:paraId="63B1F812" w14:textId="77777777" w:rsidR="007867F4" w:rsidRDefault="00000000">
            <w:r>
              <w:rPr>
                <w:color w:val="000000"/>
                <w:sz w:val="17"/>
                <w:szCs w:val="17"/>
              </w:rPr>
              <w:t>9</w:t>
            </w:r>
          </w:p>
        </w:tc>
        <w:tc>
          <w:tcPr>
            <w:tcW w:w="3550" w:type="dxa"/>
            <w:tcMar>
              <w:top w:w="65" w:type="dxa"/>
              <w:left w:w="95" w:type="dxa"/>
              <w:bottom w:w="65" w:type="dxa"/>
              <w:right w:w="95" w:type="dxa"/>
            </w:tcMar>
            <w:vAlign w:val="center"/>
          </w:tcPr>
          <w:p w14:paraId="3D86A474" w14:textId="77777777" w:rsidR="007867F4" w:rsidRDefault="00000000">
            <w:r>
              <w:rPr>
                <w:color w:val="000000"/>
                <w:sz w:val="17"/>
                <w:szCs w:val="17"/>
              </w:rPr>
              <w:t>2.05 – Détection et surveillance clinique de la douleur chez les patients atteints de TNCM</w:t>
            </w:r>
          </w:p>
        </w:tc>
        <w:tc>
          <w:tcPr>
            <w:tcW w:w="1350" w:type="dxa"/>
            <w:tcMar>
              <w:top w:w="65" w:type="dxa"/>
              <w:left w:w="95" w:type="dxa"/>
              <w:bottom w:w="65" w:type="dxa"/>
              <w:right w:w="95" w:type="dxa"/>
            </w:tcMar>
            <w:vAlign w:val="center"/>
          </w:tcPr>
          <w:p w14:paraId="715FCEC7"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038CA3EE" w14:textId="77777777" w:rsidR="007867F4" w:rsidRDefault="00000000">
            <w:r>
              <w:rPr>
                <w:color w:val="000000"/>
                <w:sz w:val="17"/>
                <w:szCs w:val="17"/>
              </w:rPr>
              <w:t>19 min</w:t>
            </w:r>
          </w:p>
        </w:tc>
        <w:tc>
          <w:tcPr>
            <w:tcW w:w="3800" w:type="dxa"/>
            <w:tcMar>
              <w:top w:w="65" w:type="dxa"/>
              <w:left w:w="95" w:type="dxa"/>
              <w:bottom w:w="65" w:type="dxa"/>
              <w:right w:w="95" w:type="dxa"/>
            </w:tcMar>
            <w:vAlign w:val="center"/>
          </w:tcPr>
          <w:p w14:paraId="457989D9" w14:textId="77777777" w:rsidR="007867F4" w:rsidRDefault="00000000">
            <w:r>
              <w:rPr>
                <w:color w:val="000000"/>
                <w:sz w:val="17"/>
                <w:szCs w:val="17"/>
              </w:rPr>
              <w:t>Repérer les signes non verbaux de douleur chez un patient qui ne peut l'exprimer clairement.</w:t>
            </w:r>
          </w:p>
        </w:tc>
      </w:tr>
      <w:tr w:rsidR="007867F4" w14:paraId="14CF7C7A" w14:textId="77777777">
        <w:tc>
          <w:tcPr>
            <w:tcW w:w="700" w:type="dxa"/>
            <w:shd w:val="clear" w:color="auto" w:fill="F2F2F2"/>
            <w:tcMar>
              <w:top w:w="65" w:type="dxa"/>
              <w:left w:w="95" w:type="dxa"/>
              <w:bottom w:w="65" w:type="dxa"/>
              <w:right w:w="95" w:type="dxa"/>
            </w:tcMar>
            <w:vAlign w:val="center"/>
          </w:tcPr>
          <w:p w14:paraId="339A757F" w14:textId="77777777" w:rsidR="007867F4" w:rsidRDefault="00000000">
            <w:r>
              <w:rPr>
                <w:color w:val="000000"/>
                <w:sz w:val="17"/>
                <w:szCs w:val="17"/>
              </w:rPr>
              <w:t>10</w:t>
            </w:r>
          </w:p>
        </w:tc>
        <w:tc>
          <w:tcPr>
            <w:tcW w:w="3550" w:type="dxa"/>
            <w:shd w:val="clear" w:color="auto" w:fill="F2F2F2"/>
            <w:tcMar>
              <w:top w:w="65" w:type="dxa"/>
              <w:left w:w="95" w:type="dxa"/>
              <w:bottom w:w="65" w:type="dxa"/>
              <w:right w:w="95" w:type="dxa"/>
            </w:tcMar>
            <w:vAlign w:val="center"/>
          </w:tcPr>
          <w:p w14:paraId="479A4647" w14:textId="77777777" w:rsidR="007867F4" w:rsidRDefault="00000000">
            <w:r>
              <w:rPr>
                <w:color w:val="000000"/>
                <w:sz w:val="17"/>
                <w:szCs w:val="17"/>
              </w:rPr>
              <w:t>2.10 – Détecter la dépression chez les aînés atteints de problèmes cognitifs, échelle Cornell</w:t>
            </w:r>
          </w:p>
        </w:tc>
        <w:tc>
          <w:tcPr>
            <w:tcW w:w="1350" w:type="dxa"/>
            <w:shd w:val="clear" w:color="auto" w:fill="F2F2F2"/>
            <w:tcMar>
              <w:top w:w="65" w:type="dxa"/>
              <w:left w:w="95" w:type="dxa"/>
              <w:bottom w:w="65" w:type="dxa"/>
              <w:right w:w="95" w:type="dxa"/>
            </w:tcMar>
            <w:vAlign w:val="center"/>
          </w:tcPr>
          <w:p w14:paraId="0486F407"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484C690A" w14:textId="77777777" w:rsidR="007867F4"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36667CD3" w14:textId="77777777" w:rsidR="007867F4" w:rsidRDefault="00000000">
            <w:r>
              <w:rPr>
                <w:color w:val="000000"/>
                <w:sz w:val="17"/>
                <w:szCs w:val="17"/>
              </w:rPr>
              <w:t>Repérer les signes de dépression malgré la présence de troubles cognitifs.</w:t>
            </w:r>
          </w:p>
        </w:tc>
      </w:tr>
    </w:tbl>
    <w:p w14:paraId="76E71548" w14:textId="77777777" w:rsidR="007867F4" w:rsidRDefault="007867F4">
      <w:pPr>
        <w:spacing w:after="140"/>
      </w:pPr>
    </w:p>
    <w:p w14:paraId="1A285781" w14:textId="77777777" w:rsidR="007867F4" w:rsidRDefault="00000000">
      <w:pPr>
        <w:spacing w:after="140" w:line="270" w:lineRule="auto"/>
      </w:pPr>
      <w:r>
        <w:rPr>
          <w:i/>
          <w:iCs/>
          <w:color w:val="555555"/>
          <w:sz w:val="19"/>
          <w:szCs w:val="19"/>
        </w:rPr>
        <w:t>Une fois cette séquence complétée, les formations suivantes seront choisies selon les priorités du milieu, en co-construction avec le personnel concerné.</w:t>
      </w:r>
    </w:p>
    <w:p w14:paraId="18B1BC85"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2C390272" w14:textId="77777777">
        <w:tc>
          <w:tcPr>
            <w:tcW w:w="10800" w:type="dxa"/>
            <w:shd w:val="clear" w:color="auto" w:fill="1F3864"/>
            <w:tcMar>
              <w:top w:w="150" w:type="dxa"/>
              <w:left w:w="180" w:type="dxa"/>
              <w:bottom w:w="150" w:type="dxa"/>
              <w:right w:w="180" w:type="dxa"/>
            </w:tcMar>
          </w:tcPr>
          <w:p w14:paraId="7599E6D2" w14:textId="77777777" w:rsidR="007867F4" w:rsidRDefault="00000000">
            <w:pPr>
              <w:pStyle w:val="Titre1"/>
            </w:pPr>
            <w:r>
              <w:rPr>
                <w:b/>
                <w:bCs/>
                <w:color w:val="FFFFFF"/>
                <w:sz w:val="25"/>
                <w:szCs w:val="25"/>
              </w:rPr>
              <w:lastRenderedPageBreak/>
              <w:t>7. Plan de formation, bénévoles</w:t>
            </w:r>
          </w:p>
        </w:tc>
      </w:tr>
    </w:tbl>
    <w:p w14:paraId="221FA882" w14:textId="77777777" w:rsidR="007867F4" w:rsidRDefault="007867F4">
      <w:pPr>
        <w:spacing w:after="140"/>
      </w:pPr>
    </w:p>
    <w:p w14:paraId="33903594" w14:textId="77777777" w:rsidR="007867F4" w:rsidRDefault="00000000">
      <w:pPr>
        <w:spacing w:after="140" w:line="280" w:lineRule="auto"/>
      </w:pPr>
      <w:r>
        <w:t>Compte tenu de la nature généralement plus ponctuelle de l'engagement bénévole, ce cheminement se limite à quatre formations, présentées ci-dessous dans l'ordre de priorité établi, au rythme du bénévole et selon la fréquence de son implication.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7867F4" w14:paraId="06A75D96" w14:textId="77777777">
        <w:trPr>
          <w:tblHeader/>
        </w:trPr>
        <w:tc>
          <w:tcPr>
            <w:tcW w:w="700" w:type="dxa"/>
            <w:shd w:val="clear" w:color="auto" w:fill="1F3864"/>
            <w:tcMar>
              <w:top w:w="65" w:type="dxa"/>
              <w:left w:w="95" w:type="dxa"/>
              <w:bottom w:w="65" w:type="dxa"/>
              <w:right w:w="95" w:type="dxa"/>
            </w:tcMar>
            <w:vAlign w:val="center"/>
          </w:tcPr>
          <w:p w14:paraId="3E644B01" w14:textId="77777777" w:rsidR="007867F4"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289E2FD8" w14:textId="77777777" w:rsidR="007867F4"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579E3A13" w14:textId="77777777" w:rsidR="007867F4"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6C26C51D" w14:textId="77777777" w:rsidR="007867F4"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2664DE0D" w14:textId="77777777" w:rsidR="007867F4" w:rsidRDefault="00000000">
            <w:r>
              <w:rPr>
                <w:b/>
                <w:bCs/>
                <w:color w:val="FFFFFF"/>
                <w:sz w:val="17"/>
                <w:szCs w:val="17"/>
              </w:rPr>
              <w:t>Objectif d'apprentissage</w:t>
            </w:r>
          </w:p>
        </w:tc>
      </w:tr>
      <w:tr w:rsidR="007867F4" w14:paraId="05600D10" w14:textId="77777777">
        <w:tc>
          <w:tcPr>
            <w:tcW w:w="700" w:type="dxa"/>
            <w:tcMar>
              <w:top w:w="65" w:type="dxa"/>
              <w:left w:w="95" w:type="dxa"/>
              <w:bottom w:w="65" w:type="dxa"/>
              <w:right w:w="95" w:type="dxa"/>
            </w:tcMar>
            <w:vAlign w:val="center"/>
          </w:tcPr>
          <w:p w14:paraId="5DBDF432" w14:textId="77777777" w:rsidR="007867F4" w:rsidRDefault="00000000">
            <w:r>
              <w:rPr>
                <w:color w:val="000000"/>
                <w:sz w:val="17"/>
                <w:szCs w:val="17"/>
              </w:rPr>
              <w:t>1</w:t>
            </w:r>
          </w:p>
        </w:tc>
        <w:tc>
          <w:tcPr>
            <w:tcW w:w="3550" w:type="dxa"/>
            <w:tcMar>
              <w:top w:w="65" w:type="dxa"/>
              <w:left w:w="95" w:type="dxa"/>
              <w:bottom w:w="65" w:type="dxa"/>
              <w:right w:w="95" w:type="dxa"/>
            </w:tcMar>
            <w:vAlign w:val="center"/>
          </w:tcPr>
          <w:p w14:paraId="5B4DFE8D" w14:textId="77777777" w:rsidR="007867F4" w:rsidRDefault="00000000">
            <w:r>
              <w:rPr>
                <w:color w:val="000000"/>
                <w:sz w:val="17"/>
                <w:szCs w:val="17"/>
              </w:rPr>
              <w:t>1.01 (pivot) – Prendre soin d'une personne atteinte de la maladie d'Alzheimer, comment composer avec ses problèmes de mémoire et ses comportements inattendus</w:t>
            </w:r>
          </w:p>
        </w:tc>
        <w:tc>
          <w:tcPr>
            <w:tcW w:w="1350" w:type="dxa"/>
            <w:tcMar>
              <w:top w:w="65" w:type="dxa"/>
              <w:left w:w="95" w:type="dxa"/>
              <w:bottom w:w="65" w:type="dxa"/>
              <w:right w:w="95" w:type="dxa"/>
            </w:tcMar>
            <w:vAlign w:val="center"/>
          </w:tcPr>
          <w:p w14:paraId="5A2B3FA3" w14:textId="77777777" w:rsidR="007867F4" w:rsidRDefault="00000000">
            <w:r>
              <w:rPr>
                <w:color w:val="000000"/>
                <w:sz w:val="17"/>
                <w:szCs w:val="17"/>
              </w:rPr>
              <w:t>Vidéo asynchrone, 15 vidéos</w:t>
            </w:r>
          </w:p>
        </w:tc>
        <w:tc>
          <w:tcPr>
            <w:tcW w:w="1400" w:type="dxa"/>
            <w:tcMar>
              <w:top w:w="65" w:type="dxa"/>
              <w:left w:w="95" w:type="dxa"/>
              <w:bottom w:w="65" w:type="dxa"/>
              <w:right w:w="95" w:type="dxa"/>
            </w:tcMar>
            <w:vAlign w:val="center"/>
          </w:tcPr>
          <w:p w14:paraId="483536F1" w14:textId="77777777" w:rsidR="007867F4" w:rsidRDefault="00000000">
            <w:r>
              <w:rPr>
                <w:color w:val="000000"/>
                <w:sz w:val="17"/>
                <w:szCs w:val="17"/>
              </w:rPr>
              <w:t>5 h 06 (6 h 21 avec les 3 questionnaires)</w:t>
            </w:r>
          </w:p>
        </w:tc>
        <w:tc>
          <w:tcPr>
            <w:tcW w:w="3800" w:type="dxa"/>
            <w:tcMar>
              <w:top w:w="65" w:type="dxa"/>
              <w:left w:w="95" w:type="dxa"/>
              <w:bottom w:w="65" w:type="dxa"/>
              <w:right w:w="95" w:type="dxa"/>
            </w:tcMar>
            <w:vAlign w:val="center"/>
          </w:tcPr>
          <w:p w14:paraId="3C899684" w14:textId="77777777" w:rsidR="007867F4" w:rsidRDefault="00000000">
            <w:r>
              <w:rPr>
                <w:color w:val="000000"/>
                <w:sz w:val="17"/>
                <w:szCs w:val="17"/>
              </w:rPr>
              <w:t>Comprendre les manifestations de la maladie d'Alzheimer et des troubles neurocognitifs apparentés pour mieux accompagner les patients durant les activités bénévoles.</w:t>
            </w:r>
          </w:p>
        </w:tc>
      </w:tr>
      <w:tr w:rsidR="007867F4" w14:paraId="623E6C74" w14:textId="77777777">
        <w:tc>
          <w:tcPr>
            <w:tcW w:w="700" w:type="dxa"/>
            <w:shd w:val="clear" w:color="auto" w:fill="F2F2F2"/>
            <w:tcMar>
              <w:top w:w="65" w:type="dxa"/>
              <w:left w:w="95" w:type="dxa"/>
              <w:bottom w:w="65" w:type="dxa"/>
              <w:right w:w="95" w:type="dxa"/>
            </w:tcMar>
            <w:vAlign w:val="center"/>
          </w:tcPr>
          <w:p w14:paraId="50E1E0C0" w14:textId="77777777" w:rsidR="007867F4"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0477F999" w14:textId="77777777" w:rsidR="007867F4" w:rsidRDefault="00000000">
            <w:r>
              <w:rPr>
                <w:color w:val="000000"/>
                <w:sz w:val="17"/>
                <w:szCs w:val="17"/>
              </w:rPr>
              <w:t>1.05 – Informer un proche comment se préparer à téléphoner un aîné atteint de problèmes cognitifs</w:t>
            </w:r>
          </w:p>
        </w:tc>
        <w:tc>
          <w:tcPr>
            <w:tcW w:w="1350" w:type="dxa"/>
            <w:shd w:val="clear" w:color="auto" w:fill="F2F2F2"/>
            <w:tcMar>
              <w:top w:w="65" w:type="dxa"/>
              <w:left w:w="95" w:type="dxa"/>
              <w:bottom w:w="65" w:type="dxa"/>
              <w:right w:w="95" w:type="dxa"/>
            </w:tcMar>
            <w:vAlign w:val="center"/>
          </w:tcPr>
          <w:p w14:paraId="09AF1FE1" w14:textId="77777777" w:rsidR="007867F4"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1E669E2F" w14:textId="77777777" w:rsidR="007867F4" w:rsidRDefault="00000000">
            <w:r>
              <w:rPr>
                <w:color w:val="000000"/>
                <w:sz w:val="17"/>
                <w:szCs w:val="17"/>
              </w:rPr>
              <w:t>10 min</w:t>
            </w:r>
          </w:p>
        </w:tc>
        <w:tc>
          <w:tcPr>
            <w:tcW w:w="3800" w:type="dxa"/>
            <w:shd w:val="clear" w:color="auto" w:fill="F2F2F2"/>
            <w:tcMar>
              <w:top w:w="65" w:type="dxa"/>
              <w:left w:w="95" w:type="dxa"/>
              <w:bottom w:w="65" w:type="dxa"/>
              <w:right w:w="95" w:type="dxa"/>
            </w:tcMar>
            <w:vAlign w:val="center"/>
          </w:tcPr>
          <w:p w14:paraId="61CF2154" w14:textId="77777777" w:rsidR="007867F4" w:rsidRDefault="00000000">
            <w:r>
              <w:rPr>
                <w:color w:val="000000"/>
                <w:sz w:val="17"/>
                <w:szCs w:val="17"/>
              </w:rPr>
              <w:t>Soutenir les proches pour qu'ils puissent réaliser des appels téléphoniques satisfaisants pour eux et pour le patient.</w:t>
            </w:r>
          </w:p>
        </w:tc>
      </w:tr>
      <w:tr w:rsidR="007867F4" w14:paraId="0C13A448" w14:textId="77777777">
        <w:tc>
          <w:tcPr>
            <w:tcW w:w="700" w:type="dxa"/>
            <w:tcMar>
              <w:top w:w="65" w:type="dxa"/>
              <w:left w:w="95" w:type="dxa"/>
              <w:bottom w:w="65" w:type="dxa"/>
              <w:right w:w="95" w:type="dxa"/>
            </w:tcMar>
            <w:vAlign w:val="center"/>
          </w:tcPr>
          <w:p w14:paraId="0FD38F49" w14:textId="77777777" w:rsidR="007867F4" w:rsidRDefault="00000000">
            <w:r>
              <w:rPr>
                <w:color w:val="000000"/>
                <w:sz w:val="17"/>
                <w:szCs w:val="17"/>
              </w:rPr>
              <w:t>3</w:t>
            </w:r>
          </w:p>
        </w:tc>
        <w:tc>
          <w:tcPr>
            <w:tcW w:w="3550" w:type="dxa"/>
            <w:tcMar>
              <w:top w:w="65" w:type="dxa"/>
              <w:left w:w="95" w:type="dxa"/>
              <w:bottom w:w="65" w:type="dxa"/>
              <w:right w:w="95" w:type="dxa"/>
            </w:tcMar>
            <w:vAlign w:val="center"/>
          </w:tcPr>
          <w:p w14:paraId="422CA1A3" w14:textId="77777777" w:rsidR="007867F4" w:rsidRDefault="00000000">
            <w:r>
              <w:rPr>
                <w:color w:val="000000"/>
                <w:sz w:val="17"/>
                <w:szCs w:val="17"/>
              </w:rPr>
              <w:t>1.06 – Doit-on annoncer les mauvaises nouvelles aux aînés atteints de problèmes cognitifs ?</w:t>
            </w:r>
          </w:p>
        </w:tc>
        <w:tc>
          <w:tcPr>
            <w:tcW w:w="1350" w:type="dxa"/>
            <w:tcMar>
              <w:top w:w="65" w:type="dxa"/>
              <w:left w:w="95" w:type="dxa"/>
              <w:bottom w:w="65" w:type="dxa"/>
              <w:right w:w="95" w:type="dxa"/>
            </w:tcMar>
            <w:vAlign w:val="center"/>
          </w:tcPr>
          <w:p w14:paraId="4541B3F2" w14:textId="77777777" w:rsidR="007867F4" w:rsidRDefault="00000000">
            <w:r>
              <w:rPr>
                <w:color w:val="000000"/>
                <w:sz w:val="17"/>
                <w:szCs w:val="17"/>
              </w:rPr>
              <w:t>Vidéo asynchrone</w:t>
            </w:r>
          </w:p>
        </w:tc>
        <w:tc>
          <w:tcPr>
            <w:tcW w:w="1400" w:type="dxa"/>
            <w:tcMar>
              <w:top w:w="65" w:type="dxa"/>
              <w:left w:w="95" w:type="dxa"/>
              <w:bottom w:w="65" w:type="dxa"/>
              <w:right w:w="95" w:type="dxa"/>
            </w:tcMar>
            <w:vAlign w:val="center"/>
          </w:tcPr>
          <w:p w14:paraId="04A11A91" w14:textId="77777777" w:rsidR="007867F4" w:rsidRDefault="00000000">
            <w:r>
              <w:rPr>
                <w:color w:val="000000"/>
                <w:sz w:val="17"/>
                <w:szCs w:val="17"/>
              </w:rPr>
              <w:t>11 min</w:t>
            </w:r>
          </w:p>
        </w:tc>
        <w:tc>
          <w:tcPr>
            <w:tcW w:w="3800" w:type="dxa"/>
            <w:tcMar>
              <w:top w:w="65" w:type="dxa"/>
              <w:left w:w="95" w:type="dxa"/>
              <w:bottom w:w="65" w:type="dxa"/>
              <w:right w:w="95" w:type="dxa"/>
            </w:tcMar>
            <w:vAlign w:val="center"/>
          </w:tcPr>
          <w:p w14:paraId="3384E360" w14:textId="77777777" w:rsidR="007867F4" w:rsidRDefault="00000000">
            <w:r>
              <w:rPr>
                <w:color w:val="000000"/>
                <w:sz w:val="17"/>
                <w:szCs w:val="17"/>
              </w:rPr>
              <w:t>Adapter la communication d'une nouvelle difficile à la capacité de compréhension du patient.</w:t>
            </w:r>
          </w:p>
        </w:tc>
      </w:tr>
      <w:tr w:rsidR="007867F4" w14:paraId="0324A54D" w14:textId="77777777">
        <w:tc>
          <w:tcPr>
            <w:tcW w:w="700" w:type="dxa"/>
            <w:shd w:val="clear" w:color="auto" w:fill="F2F2F2"/>
            <w:tcMar>
              <w:top w:w="65" w:type="dxa"/>
              <w:left w:w="95" w:type="dxa"/>
              <w:bottom w:w="65" w:type="dxa"/>
              <w:right w:w="95" w:type="dxa"/>
            </w:tcMar>
            <w:vAlign w:val="center"/>
          </w:tcPr>
          <w:p w14:paraId="68921FCB" w14:textId="77777777" w:rsidR="007867F4"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48DA8D15" w14:textId="77777777" w:rsidR="007867F4" w:rsidRDefault="00000000">
            <w:r>
              <w:rPr>
                <w:color w:val="000000"/>
                <w:sz w:val="17"/>
                <w:szCs w:val="17"/>
              </w:rPr>
              <w:t>3.20 – La maltraitance chez les personnes aînées, avec questionnaire</w:t>
            </w:r>
          </w:p>
        </w:tc>
        <w:tc>
          <w:tcPr>
            <w:tcW w:w="1350" w:type="dxa"/>
            <w:shd w:val="clear" w:color="auto" w:fill="F2F2F2"/>
            <w:tcMar>
              <w:top w:w="65" w:type="dxa"/>
              <w:left w:w="95" w:type="dxa"/>
              <w:bottom w:w="65" w:type="dxa"/>
              <w:right w:w="95" w:type="dxa"/>
            </w:tcMar>
            <w:vAlign w:val="center"/>
          </w:tcPr>
          <w:p w14:paraId="03632C69" w14:textId="77777777" w:rsidR="007867F4" w:rsidRDefault="00000000">
            <w:r>
              <w:rPr>
                <w:color w:val="000000"/>
                <w:sz w:val="17"/>
                <w:szCs w:val="17"/>
              </w:rPr>
              <w:t>Vidéo asynchrone, 4 vidéos</w:t>
            </w:r>
          </w:p>
        </w:tc>
        <w:tc>
          <w:tcPr>
            <w:tcW w:w="1400" w:type="dxa"/>
            <w:shd w:val="clear" w:color="auto" w:fill="F2F2F2"/>
            <w:tcMar>
              <w:top w:w="65" w:type="dxa"/>
              <w:left w:w="95" w:type="dxa"/>
              <w:bottom w:w="65" w:type="dxa"/>
              <w:right w:w="95" w:type="dxa"/>
            </w:tcMar>
            <w:vAlign w:val="center"/>
          </w:tcPr>
          <w:p w14:paraId="0EAB5A17" w14:textId="77777777" w:rsidR="007867F4" w:rsidRDefault="00000000">
            <w:r>
              <w:rPr>
                <w:color w:val="000000"/>
                <w:sz w:val="17"/>
                <w:szCs w:val="17"/>
              </w:rPr>
              <w:t>57 min (1 h 22 avec questionnaire)</w:t>
            </w:r>
          </w:p>
        </w:tc>
        <w:tc>
          <w:tcPr>
            <w:tcW w:w="3800" w:type="dxa"/>
            <w:shd w:val="clear" w:color="auto" w:fill="F2F2F2"/>
            <w:tcMar>
              <w:top w:w="65" w:type="dxa"/>
              <w:left w:w="95" w:type="dxa"/>
              <w:bottom w:w="65" w:type="dxa"/>
              <w:right w:w="95" w:type="dxa"/>
            </w:tcMar>
            <w:vAlign w:val="center"/>
          </w:tcPr>
          <w:p w14:paraId="5EABE2B2" w14:textId="77777777" w:rsidR="007867F4" w:rsidRDefault="00000000">
            <w:r>
              <w:rPr>
                <w:color w:val="000000"/>
                <w:sz w:val="17"/>
                <w:szCs w:val="17"/>
              </w:rPr>
              <w:t>Reconnaître les signes de maltraitance, savoir réagir conformément à la loi et promouvoir la bientraitance.</w:t>
            </w:r>
          </w:p>
        </w:tc>
      </w:tr>
    </w:tbl>
    <w:p w14:paraId="2FE63E42" w14:textId="77777777" w:rsidR="007867F4"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7867F4" w14:paraId="2CB04A1A" w14:textId="77777777">
        <w:tc>
          <w:tcPr>
            <w:tcW w:w="10800" w:type="dxa"/>
            <w:shd w:val="clear" w:color="auto" w:fill="1F3864"/>
            <w:tcMar>
              <w:top w:w="150" w:type="dxa"/>
              <w:left w:w="180" w:type="dxa"/>
              <w:bottom w:w="150" w:type="dxa"/>
              <w:right w:w="180" w:type="dxa"/>
            </w:tcMar>
          </w:tcPr>
          <w:p w14:paraId="2EEF482A" w14:textId="77777777" w:rsidR="007867F4" w:rsidRDefault="00000000">
            <w:pPr>
              <w:pStyle w:val="Titre1"/>
            </w:pPr>
            <w:r>
              <w:rPr>
                <w:b/>
                <w:bCs/>
                <w:color w:val="FFFFFF"/>
                <w:sz w:val="25"/>
                <w:szCs w:val="25"/>
              </w:rPr>
              <w:lastRenderedPageBreak/>
              <w:t>8. Conclusion</w:t>
            </w:r>
          </w:p>
        </w:tc>
      </w:tr>
    </w:tbl>
    <w:p w14:paraId="02178EEE" w14:textId="77777777" w:rsidR="007867F4" w:rsidRDefault="007867F4">
      <w:pPr>
        <w:spacing w:after="140"/>
      </w:pPr>
    </w:p>
    <w:p w14:paraId="5CD2FEE0" w14:textId="77777777" w:rsidR="007867F4" w:rsidRDefault="00000000">
      <w:pPr>
        <w:spacing w:after="140" w:line="280" w:lineRule="auto"/>
      </w:pPr>
      <w:r>
        <w:t>La formation pivot 1.01 constitue le socle commun sur lequel repose chacun des quatre cheminements proposés dans ce document. Le coaching clinique ciblé, les questionnaires de validation et les rencontres mensuelles d'équipe transforment ce contenu en compétences réellement intégrées à la pratique, tandis que la séquence de priorité propre à chaque cheminement laisse ensuite à l'organisation toute la latitude nécessaire pour ajuster la suite selon ses besoins observés, en co-construction avec le personnel concerné.</w:t>
      </w:r>
    </w:p>
    <w:p w14:paraId="2588BCFB" w14:textId="77777777" w:rsidR="007867F4" w:rsidRDefault="00000000">
      <w:pPr>
        <w:spacing w:after="140" w:line="280" w:lineRule="auto"/>
      </w:pPr>
      <w:r>
        <w:t>Rappelons enfin que les autres professionnels de la santé, comme les ergothérapeutes, les physiothérapeutes, les travailleurs sociaux et les pharmaciens, gagnent à être consultés directement, ou par l'entremise de leur direction professionnelle, afin de bâtir un plan de formation adapté à leurs compétences et à leur parcours.</w:t>
      </w:r>
    </w:p>
    <w:p w14:paraId="09C6BF5B" w14:textId="2425FA5E" w:rsidR="007867F4" w:rsidRDefault="00000000">
      <w:pPr>
        <w:spacing w:after="140" w:line="280" w:lineRule="auto"/>
      </w:pPr>
      <w:r>
        <w:t xml:space="preserve">Ce document constitue une proposition de plan de formation. Il devra être adapté, ajusté et </w:t>
      </w:r>
      <w:proofErr w:type="spellStart"/>
      <w:r>
        <w:t>co-construit</w:t>
      </w:r>
      <w:proofErr w:type="spellEnd"/>
      <w:r>
        <w:t xml:space="preserve"> avec la direction du centre hospitalier afin de tenir compte de sa réalité, de ses ressources et de ses priorités cliniques. </w:t>
      </w:r>
    </w:p>
    <w:sectPr w:rsidR="007867F4">
      <w:footerReference w:type="default" r:id="rId10"/>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EA37" w14:textId="77777777" w:rsidR="009244AA" w:rsidRDefault="009244AA">
      <w:r>
        <w:separator/>
      </w:r>
    </w:p>
  </w:endnote>
  <w:endnote w:type="continuationSeparator" w:id="0">
    <w:p w14:paraId="7319D0D2" w14:textId="77777777" w:rsidR="009244AA" w:rsidRDefault="0092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811F" w14:textId="77777777" w:rsidR="007867F4" w:rsidRDefault="00000000">
    <w:pPr>
      <w:pBdr>
        <w:top w:val="single" w:sz="4" w:space="4" w:color="BFBFBF"/>
      </w:pBdr>
      <w:spacing w:before="80"/>
      <w:jc w:val="center"/>
    </w:pPr>
    <w:r>
      <w:rPr>
        <w:color w:val="808080"/>
        <w:sz w:val="15"/>
        <w:szCs w:val="15"/>
      </w:rPr>
      <w:t xml:space="preserve">Centre hospitalier — Plan de formation multimodal   |   Page </w:t>
    </w:r>
    <w:r>
      <w:rPr>
        <w:color w:val="808080"/>
        <w:sz w:val="15"/>
        <w:szCs w:val="15"/>
      </w:rPr>
      <w:fldChar w:fldCharType="begin"/>
    </w:r>
    <w:r>
      <w:rPr>
        <w:color w:val="808080"/>
        <w:sz w:val="15"/>
        <w:szCs w:val="15"/>
      </w:rPr>
      <w:instrText>PAGE</w:instrText>
    </w:r>
    <w:r>
      <w:rPr>
        <w:color w:val="808080"/>
        <w:sz w:val="15"/>
        <w:szCs w:val="15"/>
      </w:rPr>
      <w:fldChar w:fldCharType="separate"/>
    </w:r>
    <w:r w:rsidR="00B812C2">
      <w:rPr>
        <w:noProof/>
        <w:color w:val="808080"/>
        <w:sz w:val="15"/>
        <w:szCs w:val="15"/>
      </w:rPr>
      <w:t>1</w:t>
    </w:r>
    <w:r>
      <w:rPr>
        <w:color w:val="8080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3A138" w14:textId="77777777" w:rsidR="009244AA" w:rsidRDefault="009244AA">
      <w:r>
        <w:separator/>
      </w:r>
    </w:p>
  </w:footnote>
  <w:footnote w:type="continuationSeparator" w:id="0">
    <w:p w14:paraId="6DB42F59" w14:textId="77777777" w:rsidR="009244AA" w:rsidRDefault="00924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F47C0"/>
    <w:multiLevelType w:val="hybridMultilevel"/>
    <w:tmpl w:val="B888CC28"/>
    <w:lvl w:ilvl="0" w:tplc="CBBC8C0A">
      <w:start w:val="1"/>
      <w:numFmt w:val="bullet"/>
      <w:lvlText w:val="●"/>
      <w:lvlJc w:val="left"/>
      <w:pPr>
        <w:ind w:left="720" w:hanging="360"/>
      </w:pPr>
    </w:lvl>
    <w:lvl w:ilvl="1" w:tplc="DB0CDE5E">
      <w:start w:val="1"/>
      <w:numFmt w:val="bullet"/>
      <w:lvlText w:val="○"/>
      <w:lvlJc w:val="left"/>
      <w:pPr>
        <w:ind w:left="1440" w:hanging="360"/>
      </w:pPr>
    </w:lvl>
    <w:lvl w:ilvl="2" w:tplc="49EAF7B6">
      <w:start w:val="1"/>
      <w:numFmt w:val="bullet"/>
      <w:lvlText w:val="■"/>
      <w:lvlJc w:val="left"/>
      <w:pPr>
        <w:ind w:left="2160" w:hanging="360"/>
      </w:pPr>
    </w:lvl>
    <w:lvl w:ilvl="3" w:tplc="BC9C22A0">
      <w:start w:val="1"/>
      <w:numFmt w:val="bullet"/>
      <w:lvlText w:val="●"/>
      <w:lvlJc w:val="left"/>
      <w:pPr>
        <w:ind w:left="2880" w:hanging="360"/>
      </w:pPr>
    </w:lvl>
    <w:lvl w:ilvl="4" w:tplc="9658464E">
      <w:start w:val="1"/>
      <w:numFmt w:val="bullet"/>
      <w:lvlText w:val="○"/>
      <w:lvlJc w:val="left"/>
      <w:pPr>
        <w:ind w:left="3600" w:hanging="360"/>
      </w:pPr>
    </w:lvl>
    <w:lvl w:ilvl="5" w:tplc="7B8078C8">
      <w:start w:val="1"/>
      <w:numFmt w:val="bullet"/>
      <w:lvlText w:val="■"/>
      <w:lvlJc w:val="left"/>
      <w:pPr>
        <w:ind w:left="4320" w:hanging="360"/>
      </w:pPr>
    </w:lvl>
    <w:lvl w:ilvl="6" w:tplc="258277F0">
      <w:start w:val="1"/>
      <w:numFmt w:val="bullet"/>
      <w:lvlText w:val="●"/>
      <w:lvlJc w:val="left"/>
      <w:pPr>
        <w:ind w:left="5040" w:hanging="360"/>
      </w:pPr>
    </w:lvl>
    <w:lvl w:ilvl="7" w:tplc="D6D08C96">
      <w:start w:val="1"/>
      <w:numFmt w:val="bullet"/>
      <w:lvlText w:val="●"/>
      <w:lvlJc w:val="left"/>
      <w:pPr>
        <w:ind w:left="5760" w:hanging="360"/>
      </w:pPr>
    </w:lvl>
    <w:lvl w:ilvl="8" w:tplc="D03C4B48">
      <w:start w:val="1"/>
      <w:numFmt w:val="bullet"/>
      <w:lvlText w:val="●"/>
      <w:lvlJc w:val="left"/>
      <w:pPr>
        <w:ind w:left="6480" w:hanging="360"/>
      </w:pPr>
    </w:lvl>
  </w:abstractNum>
  <w:abstractNum w:abstractNumId="1" w15:restartNumberingAfterBreak="0">
    <w:nsid w:val="5CAB5E0C"/>
    <w:multiLevelType w:val="hybridMultilevel"/>
    <w:tmpl w:val="869C6D7E"/>
    <w:lvl w:ilvl="0" w:tplc="1B781038">
      <w:start w:val="1"/>
      <w:numFmt w:val="bullet"/>
      <w:lvlText w:val="•"/>
      <w:lvlJc w:val="left"/>
      <w:pPr>
        <w:ind w:left="380" w:hanging="250"/>
      </w:pPr>
    </w:lvl>
    <w:lvl w:ilvl="1" w:tplc="A68CE53A">
      <w:numFmt w:val="decimal"/>
      <w:lvlText w:val=""/>
      <w:lvlJc w:val="left"/>
    </w:lvl>
    <w:lvl w:ilvl="2" w:tplc="6360DE06">
      <w:numFmt w:val="decimal"/>
      <w:lvlText w:val=""/>
      <w:lvlJc w:val="left"/>
    </w:lvl>
    <w:lvl w:ilvl="3" w:tplc="095C5D20">
      <w:numFmt w:val="decimal"/>
      <w:lvlText w:val=""/>
      <w:lvlJc w:val="left"/>
    </w:lvl>
    <w:lvl w:ilvl="4" w:tplc="F72E6BAE">
      <w:numFmt w:val="decimal"/>
      <w:lvlText w:val=""/>
      <w:lvlJc w:val="left"/>
    </w:lvl>
    <w:lvl w:ilvl="5" w:tplc="4B148C5E">
      <w:numFmt w:val="decimal"/>
      <w:lvlText w:val=""/>
      <w:lvlJc w:val="left"/>
    </w:lvl>
    <w:lvl w:ilvl="6" w:tplc="7FFEA366">
      <w:numFmt w:val="decimal"/>
      <w:lvlText w:val=""/>
      <w:lvlJc w:val="left"/>
    </w:lvl>
    <w:lvl w:ilvl="7" w:tplc="0EB23484">
      <w:numFmt w:val="decimal"/>
      <w:lvlText w:val=""/>
      <w:lvlJc w:val="left"/>
    </w:lvl>
    <w:lvl w:ilvl="8" w:tplc="207C9EA4">
      <w:numFmt w:val="decimal"/>
      <w:lvlText w:val=""/>
      <w:lvlJc w:val="left"/>
    </w:lvl>
  </w:abstractNum>
  <w:abstractNum w:abstractNumId="2" w15:restartNumberingAfterBreak="0">
    <w:nsid w:val="7EE31F3C"/>
    <w:multiLevelType w:val="hybridMultilevel"/>
    <w:tmpl w:val="DB1ECAF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225916981">
    <w:abstractNumId w:val="0"/>
    <w:lvlOverride w:ilvl="0">
      <w:startOverride w:val="1"/>
    </w:lvlOverride>
  </w:num>
  <w:num w:numId="2" w16cid:durableId="423957301">
    <w:abstractNumId w:val="1"/>
    <w:lvlOverride w:ilvl="0">
      <w:startOverride w:val="1"/>
    </w:lvlOverride>
  </w:num>
  <w:num w:numId="3" w16cid:durableId="1649087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F4"/>
    <w:rsid w:val="007867F4"/>
    <w:rsid w:val="009244AA"/>
    <w:rsid w:val="00B812C2"/>
    <w:rsid w:val="00CD571B"/>
    <w:rsid w:val="00D3040D"/>
    <w:rsid w:val="00DA5D99"/>
    <w:rsid w:val="00EF1B46"/>
    <w:rsid w:val="00F410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3EB37"/>
  <w15:docId w15:val="{20091EC4-82E6-441F-ABEA-5C9F5F96E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3471</Words>
  <Characters>19096</Characters>
  <Application>Microsoft Office Word</Application>
  <DocSecurity>0</DocSecurity>
  <Lines>159</Lines>
  <Paragraphs>45</Paragraphs>
  <ScaleCrop>false</ScaleCrop>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Philippe Voyer</cp:lastModifiedBy>
  <cp:revision>4</cp:revision>
  <dcterms:created xsi:type="dcterms:W3CDTF">2026-09-06T13:16:00Z</dcterms:created>
  <dcterms:modified xsi:type="dcterms:W3CDTF">2026-09-10T20:05:00Z</dcterms:modified>
</cp:coreProperties>
</file>